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366ACF" w14:textId="117EB6B2" w:rsidR="00E67A45" w:rsidRPr="00033B8C" w:rsidRDefault="00CA301F" w:rsidP="00033B8C">
      <w:pPr>
        <w:jc w:val="center"/>
        <w:rPr>
          <w:rFonts w:ascii="Arial" w:hAnsi="Arial" w:cs="Arial"/>
          <w:b/>
          <w:bCs/>
          <w:lang w:val="es-ES_tradnl"/>
        </w:rPr>
      </w:pPr>
      <w:r w:rsidRPr="00033B8C">
        <w:rPr>
          <w:rFonts w:ascii="Arial" w:hAnsi="Arial" w:cs="Arial"/>
          <w:b/>
          <w:bCs/>
          <w:lang w:val="es-ES_tradnl"/>
        </w:rPr>
        <w:t>AAEF</w:t>
      </w:r>
    </w:p>
    <w:p w14:paraId="45338CC0" w14:textId="65AB8388" w:rsidR="00CA301F" w:rsidRPr="00033B8C" w:rsidRDefault="00CA301F" w:rsidP="00033B8C">
      <w:pPr>
        <w:jc w:val="center"/>
        <w:rPr>
          <w:rFonts w:ascii="Arial" w:hAnsi="Arial" w:cs="Arial"/>
          <w:b/>
          <w:bCs/>
          <w:lang w:val="es-ES_tradnl"/>
        </w:rPr>
      </w:pPr>
    </w:p>
    <w:p w14:paraId="7FE1D3D1" w14:textId="70FEB933" w:rsidR="00CA301F" w:rsidRPr="00033B8C" w:rsidRDefault="00092C20" w:rsidP="00033B8C">
      <w:pPr>
        <w:jc w:val="center"/>
        <w:rPr>
          <w:rFonts w:ascii="Arial" w:hAnsi="Arial" w:cs="Arial"/>
          <w:b/>
          <w:bCs/>
          <w:lang w:val="es-ES_tradnl"/>
        </w:rPr>
      </w:pPr>
      <w:r w:rsidRPr="00033B8C">
        <w:rPr>
          <w:rFonts w:ascii="Arial" w:hAnsi="Arial" w:cs="Arial"/>
          <w:b/>
          <w:bCs/>
          <w:lang w:val="es-ES_tradnl"/>
        </w:rPr>
        <w:t>COMISION DE TRIBUTOS LOCALES</w:t>
      </w:r>
    </w:p>
    <w:p w14:paraId="7713CEA3" w14:textId="4DEB3FD2" w:rsidR="00092C20" w:rsidRPr="00033B8C" w:rsidRDefault="00092C20" w:rsidP="00033B8C">
      <w:pPr>
        <w:jc w:val="center"/>
        <w:rPr>
          <w:rFonts w:ascii="Arial" w:hAnsi="Arial" w:cs="Arial"/>
          <w:b/>
          <w:bCs/>
          <w:lang w:val="es-ES_tradnl"/>
        </w:rPr>
      </w:pPr>
    </w:p>
    <w:p w14:paraId="54FC37D3" w14:textId="286B09AF" w:rsidR="00092C20" w:rsidRPr="00033B8C" w:rsidRDefault="00092C20" w:rsidP="00033B8C">
      <w:pPr>
        <w:jc w:val="center"/>
        <w:rPr>
          <w:rFonts w:ascii="Arial" w:hAnsi="Arial" w:cs="Arial"/>
          <w:b/>
          <w:bCs/>
          <w:lang w:val="es-ES_tradnl"/>
        </w:rPr>
      </w:pPr>
      <w:r w:rsidRPr="00033B8C">
        <w:rPr>
          <w:rFonts w:ascii="Arial" w:hAnsi="Arial" w:cs="Arial"/>
          <w:b/>
          <w:bCs/>
          <w:lang w:val="es-ES_tradnl"/>
        </w:rPr>
        <w:t>REUNION – AGOSTO/2022</w:t>
      </w:r>
    </w:p>
    <w:p w14:paraId="2D5F4921" w14:textId="3B854690" w:rsidR="00092C20" w:rsidRPr="00092C20" w:rsidRDefault="00092C20">
      <w:pPr>
        <w:rPr>
          <w:rFonts w:ascii="Arial" w:hAnsi="Arial" w:cs="Arial"/>
          <w:sz w:val="20"/>
          <w:szCs w:val="20"/>
          <w:lang w:val="es-ES_tradnl"/>
        </w:rPr>
      </w:pPr>
    </w:p>
    <w:p w14:paraId="2FC05E96" w14:textId="74BC2C7D" w:rsidR="00193FEA" w:rsidRDefault="00193FEA" w:rsidP="00193FEA">
      <w:pPr>
        <w:snapToGrid w:val="0"/>
        <w:spacing w:after="120" w:line="360" w:lineRule="auto"/>
        <w:jc w:val="both"/>
        <w:rPr>
          <w:rFonts w:ascii="Arial" w:hAnsi="Arial" w:cs="Arial"/>
          <w:sz w:val="20"/>
          <w:szCs w:val="20"/>
          <w:lang w:val="es-ES_tradnl"/>
        </w:rPr>
      </w:pPr>
    </w:p>
    <w:p w14:paraId="72039AC3" w14:textId="1504C64A" w:rsidR="00193FEA" w:rsidRPr="00D00907" w:rsidRDefault="00193FEA" w:rsidP="009E6CD7">
      <w:pPr>
        <w:snapToGrid w:val="0"/>
        <w:spacing w:after="240" w:line="360" w:lineRule="auto"/>
        <w:jc w:val="both"/>
        <w:rPr>
          <w:rFonts w:ascii="Arial" w:hAnsi="Arial" w:cs="Arial"/>
          <w:b/>
          <w:bCs/>
          <w:sz w:val="22"/>
          <w:szCs w:val="22"/>
          <w:u w:val="single"/>
          <w:lang w:val="es-ES_tradnl"/>
        </w:rPr>
      </w:pPr>
      <w:r w:rsidRPr="00D00907">
        <w:rPr>
          <w:rFonts w:ascii="Arial" w:hAnsi="Arial" w:cs="Arial"/>
          <w:b/>
          <w:bCs/>
          <w:sz w:val="22"/>
          <w:szCs w:val="22"/>
          <w:u w:val="single"/>
          <w:lang w:val="es-ES_tradnl"/>
        </w:rPr>
        <w:t>Convenio Multilateral – Atribución de Ingresos</w:t>
      </w:r>
    </w:p>
    <w:p w14:paraId="476CA626" w14:textId="1BA3C4EA" w:rsidR="00033B8C" w:rsidRDefault="00092C20" w:rsidP="009E6CD7">
      <w:pPr>
        <w:pStyle w:val="Prrafodelista"/>
        <w:numPr>
          <w:ilvl w:val="0"/>
          <w:numId w:val="2"/>
        </w:numPr>
        <w:snapToGrid w:val="0"/>
        <w:spacing w:after="240" w:line="360" w:lineRule="auto"/>
        <w:ind w:left="357" w:hanging="357"/>
        <w:contextualSpacing w:val="0"/>
        <w:jc w:val="both"/>
        <w:rPr>
          <w:rFonts w:ascii="Arial" w:hAnsi="Arial" w:cs="Arial"/>
          <w:sz w:val="20"/>
          <w:szCs w:val="20"/>
          <w:lang w:val="es-ES_tradnl"/>
        </w:rPr>
      </w:pPr>
      <w:r w:rsidRPr="00033B8C">
        <w:rPr>
          <w:rFonts w:ascii="Arial" w:hAnsi="Arial" w:cs="Arial"/>
          <w:sz w:val="20"/>
          <w:szCs w:val="20"/>
          <w:lang w:val="es-ES_tradnl"/>
        </w:rPr>
        <w:t xml:space="preserve">Convenio Multilateral. </w:t>
      </w:r>
      <w:r w:rsidR="00193FEA">
        <w:rPr>
          <w:rFonts w:ascii="Arial" w:hAnsi="Arial" w:cs="Arial"/>
          <w:sz w:val="20"/>
          <w:szCs w:val="20"/>
          <w:lang w:val="es-ES_tradnl"/>
        </w:rPr>
        <w:t xml:space="preserve">Imposibilidad en la </w:t>
      </w:r>
      <w:r w:rsidR="00033B8C">
        <w:rPr>
          <w:rFonts w:ascii="Arial" w:hAnsi="Arial" w:cs="Arial"/>
          <w:sz w:val="20"/>
          <w:szCs w:val="20"/>
          <w:lang w:val="es-ES_tradnl"/>
        </w:rPr>
        <w:t>Atribución de Ingresos</w:t>
      </w:r>
      <w:r w:rsidRPr="00033B8C">
        <w:rPr>
          <w:rFonts w:ascii="Arial" w:hAnsi="Arial" w:cs="Arial"/>
          <w:sz w:val="20"/>
          <w:szCs w:val="20"/>
          <w:lang w:val="es-ES_tradnl"/>
        </w:rPr>
        <w:t>.</w:t>
      </w:r>
      <w:r w:rsidR="00033B8C">
        <w:rPr>
          <w:rFonts w:ascii="Arial" w:hAnsi="Arial" w:cs="Arial"/>
          <w:sz w:val="20"/>
          <w:szCs w:val="20"/>
          <w:lang w:val="es-ES_tradnl"/>
        </w:rPr>
        <w:t xml:space="preserve"> Utilización de Presunciones. Asimetrías</w:t>
      </w:r>
      <w:r w:rsidR="00193FEA">
        <w:rPr>
          <w:rFonts w:ascii="Arial" w:hAnsi="Arial" w:cs="Arial"/>
          <w:sz w:val="20"/>
          <w:szCs w:val="20"/>
          <w:lang w:val="es-ES_tradnl"/>
        </w:rPr>
        <w:t xml:space="preserve"> entre el Fisco y los Contribuyentes</w:t>
      </w:r>
      <w:r w:rsidR="00033B8C">
        <w:rPr>
          <w:rFonts w:ascii="Arial" w:hAnsi="Arial" w:cs="Arial"/>
          <w:sz w:val="20"/>
          <w:szCs w:val="20"/>
          <w:lang w:val="es-ES_tradnl"/>
        </w:rPr>
        <w:t>. Doctrina de la CA y CP.</w:t>
      </w:r>
      <w:r w:rsidR="00193FEA">
        <w:rPr>
          <w:rFonts w:ascii="Arial" w:hAnsi="Arial" w:cs="Arial"/>
          <w:sz w:val="20"/>
          <w:szCs w:val="20"/>
          <w:lang w:val="es-ES_tradnl"/>
        </w:rPr>
        <w:t xml:space="preserve"> Revisión de las principales resoluciones sobre casos concretos.</w:t>
      </w:r>
    </w:p>
    <w:p w14:paraId="74C5FEED" w14:textId="246015AB" w:rsidR="00193FEA" w:rsidRPr="00D00907" w:rsidRDefault="00193FEA" w:rsidP="009E6CD7">
      <w:pPr>
        <w:snapToGrid w:val="0"/>
        <w:spacing w:after="240" w:line="360" w:lineRule="auto"/>
        <w:jc w:val="both"/>
        <w:rPr>
          <w:rFonts w:ascii="Arial" w:hAnsi="Arial" w:cs="Arial"/>
          <w:b/>
          <w:bCs/>
          <w:sz w:val="22"/>
          <w:szCs w:val="22"/>
          <w:u w:val="single"/>
          <w:lang w:val="es-ES_tradnl"/>
        </w:rPr>
      </w:pPr>
      <w:r w:rsidRPr="00D00907">
        <w:rPr>
          <w:rFonts w:ascii="Arial" w:hAnsi="Arial" w:cs="Arial"/>
          <w:b/>
          <w:bCs/>
          <w:sz w:val="22"/>
          <w:szCs w:val="22"/>
          <w:u w:val="single"/>
          <w:lang w:val="es-ES_tradnl"/>
        </w:rPr>
        <w:t>Corte Suprema de Justicia de la Nación</w:t>
      </w:r>
    </w:p>
    <w:p w14:paraId="152BF832" w14:textId="0BAA75FE" w:rsidR="00193FEA" w:rsidRDefault="00D272A8" w:rsidP="009E6CD7">
      <w:pPr>
        <w:pStyle w:val="Prrafodelista"/>
        <w:numPr>
          <w:ilvl w:val="0"/>
          <w:numId w:val="3"/>
        </w:numPr>
        <w:snapToGrid w:val="0"/>
        <w:spacing w:after="240" w:line="360" w:lineRule="auto"/>
        <w:contextualSpacing w:val="0"/>
        <w:jc w:val="both"/>
        <w:rPr>
          <w:rFonts w:ascii="Arial" w:hAnsi="Arial" w:cs="Arial"/>
          <w:sz w:val="20"/>
          <w:szCs w:val="20"/>
          <w:lang w:val="es-ES_tradnl"/>
        </w:rPr>
      </w:pPr>
      <w:r w:rsidRPr="003B6257">
        <w:rPr>
          <w:rFonts w:ascii="Arial" w:hAnsi="Arial" w:cs="Arial"/>
          <w:b/>
          <w:bCs/>
          <w:sz w:val="20"/>
          <w:szCs w:val="20"/>
          <w:lang w:val="es-ES_tradnl"/>
        </w:rPr>
        <w:t>Ingresos Brutos. Alícuotas Diferenciale</w:t>
      </w:r>
      <w:r w:rsidR="003B6257">
        <w:rPr>
          <w:rFonts w:ascii="Arial" w:hAnsi="Arial" w:cs="Arial"/>
          <w:b/>
          <w:bCs/>
          <w:sz w:val="20"/>
          <w:szCs w:val="20"/>
          <w:lang w:val="es-ES_tradnl"/>
        </w:rPr>
        <w:t>s</w:t>
      </w:r>
      <w:r w:rsidR="00D709CE">
        <w:rPr>
          <w:rFonts w:ascii="Arial" w:hAnsi="Arial" w:cs="Arial"/>
          <w:b/>
          <w:bCs/>
          <w:sz w:val="20"/>
          <w:szCs w:val="20"/>
          <w:lang w:val="es-ES_tradnl"/>
        </w:rPr>
        <w:t xml:space="preserve"> </w:t>
      </w:r>
      <w:r w:rsidR="00D709CE" w:rsidRPr="00D709CE">
        <w:rPr>
          <w:rFonts w:ascii="Arial" w:hAnsi="Arial" w:cs="Arial"/>
          <w:b/>
          <w:bCs/>
          <w:sz w:val="20"/>
          <w:szCs w:val="20"/>
          <w:lang w:val="es-ES_tradnl"/>
        </w:rPr>
        <w:t>(</w:t>
      </w:r>
      <w:r w:rsidRPr="00D709CE">
        <w:rPr>
          <w:rFonts w:ascii="Arial" w:hAnsi="Arial" w:cs="Arial"/>
          <w:b/>
          <w:bCs/>
          <w:sz w:val="20"/>
          <w:szCs w:val="20"/>
          <w:lang w:val="es-ES_tradnl"/>
        </w:rPr>
        <w:t>3/2017</w:t>
      </w:r>
      <w:r w:rsidR="00D709CE" w:rsidRPr="00D709CE">
        <w:rPr>
          <w:rFonts w:ascii="Arial" w:hAnsi="Arial" w:cs="Arial"/>
          <w:b/>
          <w:bCs/>
          <w:sz w:val="20"/>
          <w:szCs w:val="20"/>
          <w:lang w:val="es-ES_tradnl"/>
        </w:rPr>
        <w:t>)</w:t>
      </w:r>
      <w:r>
        <w:rPr>
          <w:rFonts w:ascii="Arial" w:hAnsi="Arial" w:cs="Arial"/>
          <w:sz w:val="20"/>
          <w:szCs w:val="20"/>
          <w:lang w:val="es-ES_tradnl"/>
        </w:rPr>
        <w:t>. Acción declarativa de certeza. Solicitud de declaración de la inconstitucionalidad del artículo 18</w:t>
      </w:r>
      <w:r w:rsidR="009E6CD7">
        <w:rPr>
          <w:rFonts w:ascii="Arial" w:hAnsi="Arial" w:cs="Arial"/>
          <w:sz w:val="20"/>
          <w:szCs w:val="20"/>
          <w:lang w:val="es-ES_tradnl"/>
        </w:rPr>
        <w:t xml:space="preserve"> (4,75%)</w:t>
      </w:r>
      <w:r>
        <w:rPr>
          <w:rFonts w:ascii="Arial" w:hAnsi="Arial" w:cs="Arial"/>
          <w:sz w:val="20"/>
          <w:szCs w:val="20"/>
          <w:lang w:val="es-ES_tradnl"/>
        </w:rPr>
        <w:t>, de la Ley (CBA) 10412. Pretensión fiscal exteriorizada por medio de la Resolución DJRAF-R 000</w:t>
      </w:r>
      <w:r w:rsidR="00B26BF8">
        <w:rPr>
          <w:rFonts w:ascii="Arial" w:hAnsi="Arial" w:cs="Arial"/>
          <w:sz w:val="20"/>
          <w:szCs w:val="20"/>
          <w:lang w:val="es-ES_tradnl"/>
        </w:rPr>
        <w:t>8</w:t>
      </w:r>
      <w:r>
        <w:rPr>
          <w:rFonts w:ascii="Arial" w:hAnsi="Arial" w:cs="Arial"/>
          <w:sz w:val="20"/>
          <w:szCs w:val="20"/>
          <w:lang w:val="es-ES_tradnl"/>
        </w:rPr>
        <w:t>/2017</w:t>
      </w:r>
      <w:r w:rsidR="00B26BF8">
        <w:rPr>
          <w:rFonts w:ascii="Arial" w:hAnsi="Arial" w:cs="Arial"/>
          <w:sz w:val="20"/>
          <w:szCs w:val="20"/>
          <w:lang w:val="es-ES_tradnl"/>
        </w:rPr>
        <w:t>, ratificada por la DJRAF-R 0025/2017 (rechazo del recurso de reconsideración) y por la R 0198/2018 (desestimación del recurso jerárquico). Aplicación de la doctrina “</w:t>
      </w:r>
      <w:r w:rsidR="00B26BF8" w:rsidRPr="00B26BF8">
        <w:rPr>
          <w:rFonts w:ascii="Arial" w:hAnsi="Arial" w:cs="Arial"/>
          <w:i/>
          <w:iCs/>
          <w:sz w:val="20"/>
          <w:szCs w:val="20"/>
          <w:lang w:val="es-ES_tradnl"/>
        </w:rPr>
        <w:t>Bayer S.A.</w:t>
      </w:r>
      <w:r w:rsidR="00B26BF8">
        <w:rPr>
          <w:rFonts w:ascii="Arial" w:hAnsi="Arial" w:cs="Arial"/>
          <w:sz w:val="20"/>
          <w:szCs w:val="20"/>
          <w:lang w:val="es-ES_tradnl"/>
        </w:rPr>
        <w:t>”</w:t>
      </w:r>
      <w:r w:rsidR="009E6CD7">
        <w:rPr>
          <w:rFonts w:ascii="Arial" w:hAnsi="Arial" w:cs="Arial"/>
          <w:sz w:val="20"/>
          <w:szCs w:val="20"/>
          <w:lang w:val="es-ES_tradnl"/>
        </w:rPr>
        <w:t xml:space="preserve"> y “Harriet y Donnelly S.A”. Se hace lugar a la demanda y se declara la inconstitucionalidad del inciso 2, del art. 18, de la Ley 10412 y de las resoluciones de la Administración. </w:t>
      </w:r>
      <w:r w:rsidR="009E6CD7" w:rsidRPr="009E6CD7">
        <w:rPr>
          <w:rFonts w:ascii="Arial" w:hAnsi="Arial" w:cs="Arial"/>
          <w:b/>
          <w:bCs/>
          <w:i/>
          <w:iCs/>
          <w:sz w:val="20"/>
          <w:szCs w:val="20"/>
          <w:lang w:val="es-ES_tradnl"/>
        </w:rPr>
        <w:t>“</w:t>
      </w:r>
      <w:proofErr w:type="spellStart"/>
      <w:r w:rsidR="009E6CD7" w:rsidRPr="009E6CD7">
        <w:rPr>
          <w:rFonts w:ascii="Arial" w:hAnsi="Arial" w:cs="Arial"/>
          <w:b/>
          <w:bCs/>
          <w:i/>
          <w:iCs/>
          <w:sz w:val="20"/>
          <w:szCs w:val="20"/>
          <w:lang w:val="es-ES_tradnl"/>
        </w:rPr>
        <w:t>Egger</w:t>
      </w:r>
      <w:proofErr w:type="spellEnd"/>
      <w:r w:rsidR="009E6CD7" w:rsidRPr="009E6CD7">
        <w:rPr>
          <w:rFonts w:ascii="Arial" w:hAnsi="Arial" w:cs="Arial"/>
          <w:b/>
          <w:bCs/>
          <w:i/>
          <w:iCs/>
          <w:sz w:val="20"/>
          <w:szCs w:val="20"/>
          <w:lang w:val="es-ES_tradnl"/>
        </w:rPr>
        <w:t xml:space="preserve"> Argentina S.A. (ex </w:t>
      </w:r>
      <w:proofErr w:type="spellStart"/>
      <w:r w:rsidR="009E6CD7" w:rsidRPr="009E6CD7">
        <w:rPr>
          <w:rFonts w:ascii="Arial" w:hAnsi="Arial" w:cs="Arial"/>
          <w:b/>
          <w:bCs/>
          <w:i/>
          <w:iCs/>
          <w:sz w:val="20"/>
          <w:szCs w:val="20"/>
          <w:lang w:val="es-ES_tradnl"/>
        </w:rPr>
        <w:t>Masisa</w:t>
      </w:r>
      <w:proofErr w:type="spellEnd"/>
      <w:r w:rsidR="009E6CD7" w:rsidRPr="009E6CD7">
        <w:rPr>
          <w:rFonts w:ascii="Arial" w:hAnsi="Arial" w:cs="Arial"/>
          <w:b/>
          <w:bCs/>
          <w:i/>
          <w:iCs/>
          <w:sz w:val="20"/>
          <w:szCs w:val="20"/>
          <w:lang w:val="es-ES_tradnl"/>
        </w:rPr>
        <w:t xml:space="preserve"> Argentina S.A.) c/Provincia de Córdoba s/Acción Declarativa de Certeza (2/08/2022)”</w:t>
      </w:r>
      <w:r w:rsidR="009E6CD7">
        <w:rPr>
          <w:rFonts w:ascii="Arial" w:hAnsi="Arial" w:cs="Arial"/>
          <w:sz w:val="20"/>
          <w:szCs w:val="20"/>
          <w:lang w:val="es-ES_tradnl"/>
        </w:rPr>
        <w:t>.</w:t>
      </w:r>
    </w:p>
    <w:p w14:paraId="708C659E" w14:textId="0C9C66BC" w:rsidR="003B6257" w:rsidRPr="00064A51" w:rsidRDefault="003B6257" w:rsidP="00A771F2">
      <w:pPr>
        <w:pStyle w:val="Prrafodelista"/>
        <w:numPr>
          <w:ilvl w:val="0"/>
          <w:numId w:val="3"/>
        </w:numPr>
        <w:snapToGrid w:val="0"/>
        <w:spacing w:after="240" w:line="360" w:lineRule="auto"/>
        <w:contextualSpacing w:val="0"/>
        <w:jc w:val="both"/>
        <w:rPr>
          <w:rFonts w:ascii="Arial" w:hAnsi="Arial" w:cs="Arial"/>
          <w:i/>
          <w:iCs/>
          <w:color w:val="222A35" w:themeColor="text2" w:themeShade="80"/>
          <w:sz w:val="20"/>
          <w:szCs w:val="20"/>
        </w:rPr>
      </w:pPr>
      <w:r w:rsidRPr="00D413E6">
        <w:rPr>
          <w:rFonts w:ascii="Arial" w:hAnsi="Arial" w:cs="Arial"/>
          <w:b/>
          <w:bCs/>
          <w:sz w:val="20"/>
          <w:szCs w:val="20"/>
          <w:lang w:val="es-ES_tradnl"/>
        </w:rPr>
        <w:t>Impuesto de Sellos. Alícuotas Diferenciales</w:t>
      </w:r>
      <w:r w:rsidRPr="00D413E6">
        <w:rPr>
          <w:rFonts w:ascii="Arial" w:hAnsi="Arial" w:cs="Arial"/>
          <w:sz w:val="20"/>
          <w:szCs w:val="20"/>
          <w:lang w:val="es-ES_tradnl"/>
        </w:rPr>
        <w:t>. Acción declarativa de certeza</w:t>
      </w:r>
      <w:r w:rsidR="00D413E6" w:rsidRPr="00D413E6">
        <w:rPr>
          <w:rFonts w:ascii="Arial" w:hAnsi="Arial" w:cs="Arial"/>
          <w:sz w:val="20"/>
          <w:szCs w:val="20"/>
          <w:lang w:val="es-ES_tradnl"/>
        </w:rPr>
        <w:t xml:space="preserve">. Solicitud de la declaración de inconstitucionalidad de </w:t>
      </w:r>
      <w:r w:rsidRPr="00D413E6">
        <w:rPr>
          <w:rFonts w:ascii="Arial" w:hAnsi="Arial" w:cs="Arial"/>
          <w:sz w:val="20"/>
          <w:szCs w:val="20"/>
          <w:lang w:val="es-ES_tradnl"/>
        </w:rPr>
        <w:t xml:space="preserve">la Resolución N°37617-DPIP-2018, dictada con sustento en el Código Fiscal </w:t>
      </w:r>
      <w:r w:rsidR="00D413E6" w:rsidRPr="00D413E6">
        <w:rPr>
          <w:rFonts w:ascii="Arial" w:hAnsi="Arial" w:cs="Arial"/>
          <w:sz w:val="20"/>
          <w:szCs w:val="20"/>
          <w:lang w:val="es-ES_tradnl"/>
        </w:rPr>
        <w:t xml:space="preserve">(Provincia de San Luis) </w:t>
      </w:r>
      <w:r w:rsidRPr="00D413E6">
        <w:rPr>
          <w:rFonts w:ascii="Arial" w:hAnsi="Arial" w:cs="Arial"/>
          <w:sz w:val="20"/>
          <w:szCs w:val="20"/>
          <w:lang w:val="es-ES_tradnl"/>
        </w:rPr>
        <w:t>y en la Ley Provincial VIII-254/2017</w:t>
      </w:r>
      <w:r w:rsidR="00D413E6" w:rsidRPr="00D413E6">
        <w:rPr>
          <w:rFonts w:ascii="Arial" w:hAnsi="Arial" w:cs="Arial"/>
          <w:sz w:val="20"/>
          <w:szCs w:val="20"/>
          <w:lang w:val="es-ES_tradnl"/>
        </w:rPr>
        <w:t>. La alícuota diferencial tiene su origen en</w:t>
      </w:r>
      <w:r w:rsidR="00A771F2">
        <w:rPr>
          <w:rFonts w:ascii="Arial" w:hAnsi="Arial" w:cs="Arial"/>
          <w:sz w:val="20"/>
          <w:szCs w:val="20"/>
          <w:lang w:val="es-ES_tradnl"/>
        </w:rPr>
        <w:t>:</w:t>
      </w:r>
      <w:r w:rsidR="00D413E6" w:rsidRPr="00D413E6">
        <w:rPr>
          <w:rFonts w:ascii="Arial" w:hAnsi="Arial" w:cs="Arial"/>
          <w:sz w:val="20"/>
          <w:szCs w:val="20"/>
          <w:lang w:val="es-ES_tradnl"/>
        </w:rPr>
        <w:t xml:space="preserve"> </w:t>
      </w:r>
      <w:r w:rsidR="00D413E6" w:rsidRPr="00D413E6">
        <w:rPr>
          <w:rFonts w:ascii="Arial" w:hAnsi="Arial" w:cs="Arial"/>
          <w:i/>
          <w:iCs/>
          <w:sz w:val="20"/>
          <w:szCs w:val="20"/>
        </w:rPr>
        <w:t xml:space="preserve">“si la transferencia de fondos es efectuada desde una cuenta bancaria radicada en la provincia de San Luis a otra cuenta bancaria radicada en la misma provincia, aplica una alícuota del 0,00‰; mientras que si la transferencia de fondos es efectuada desde una cuenta bancaria radicada en la provincia de San Luis a otra cuenta radicada en otra jurisdicción fuera de la provincia de San Luis, aplica una alícuota del 7,20‰”. </w:t>
      </w:r>
      <w:r w:rsidR="00A771F2">
        <w:rPr>
          <w:rFonts w:ascii="Arial" w:hAnsi="Arial" w:cs="Arial"/>
          <w:sz w:val="20"/>
          <w:szCs w:val="20"/>
        </w:rPr>
        <w:t>A su vez</w:t>
      </w:r>
      <w:r w:rsidRPr="00D413E6">
        <w:rPr>
          <w:rFonts w:ascii="Arial" w:hAnsi="Arial" w:cs="Arial"/>
          <w:sz w:val="20"/>
          <w:szCs w:val="20"/>
        </w:rPr>
        <w:t xml:space="preserve">, </w:t>
      </w:r>
      <w:r w:rsidR="00A771F2">
        <w:rPr>
          <w:rFonts w:ascii="Arial" w:hAnsi="Arial" w:cs="Arial"/>
          <w:sz w:val="20"/>
          <w:szCs w:val="20"/>
        </w:rPr>
        <w:t xml:space="preserve">se solicita </w:t>
      </w:r>
      <w:r w:rsidRPr="00D413E6">
        <w:rPr>
          <w:rFonts w:ascii="Arial" w:hAnsi="Arial" w:cs="Arial"/>
          <w:b/>
          <w:bCs/>
          <w:sz w:val="20"/>
          <w:szCs w:val="20"/>
        </w:rPr>
        <w:t>que se ordene la repetición de lo pagado a la demandada a través de retenciones bancarias</w:t>
      </w:r>
      <w:r w:rsidR="00D413E6">
        <w:rPr>
          <w:rFonts w:ascii="Arial" w:hAnsi="Arial" w:cs="Arial"/>
          <w:sz w:val="20"/>
          <w:szCs w:val="20"/>
        </w:rPr>
        <w:t xml:space="preserve"> </w:t>
      </w:r>
      <w:r w:rsidRPr="00D413E6">
        <w:rPr>
          <w:rFonts w:ascii="Arial" w:hAnsi="Arial" w:cs="Arial"/>
          <w:sz w:val="20"/>
          <w:szCs w:val="20"/>
        </w:rPr>
        <w:t>(8/2008 a 12/2017</w:t>
      </w:r>
      <w:r w:rsidR="00D413E6">
        <w:rPr>
          <w:rFonts w:ascii="Arial" w:hAnsi="Arial" w:cs="Arial"/>
          <w:sz w:val="20"/>
          <w:szCs w:val="20"/>
        </w:rPr>
        <w:t xml:space="preserve">). </w:t>
      </w:r>
      <w:r w:rsidR="00A771F2">
        <w:rPr>
          <w:rFonts w:ascii="Arial" w:hAnsi="Arial" w:cs="Arial"/>
          <w:sz w:val="20"/>
          <w:szCs w:val="20"/>
        </w:rPr>
        <w:t xml:space="preserve">Por último, </w:t>
      </w:r>
      <w:r w:rsidR="007E7922">
        <w:rPr>
          <w:rFonts w:ascii="Arial" w:hAnsi="Arial" w:cs="Arial"/>
          <w:sz w:val="20"/>
          <w:szCs w:val="20"/>
        </w:rPr>
        <w:t xml:space="preserve">también, </w:t>
      </w:r>
      <w:r w:rsidR="00A771F2">
        <w:rPr>
          <w:rFonts w:ascii="Arial" w:hAnsi="Arial" w:cs="Arial"/>
          <w:sz w:val="20"/>
          <w:szCs w:val="20"/>
        </w:rPr>
        <w:t>s</w:t>
      </w:r>
      <w:r w:rsidR="00D413E6">
        <w:rPr>
          <w:rFonts w:ascii="Arial" w:hAnsi="Arial" w:cs="Arial"/>
          <w:sz w:val="20"/>
          <w:szCs w:val="20"/>
        </w:rPr>
        <w:t>e</w:t>
      </w:r>
      <w:r w:rsidRPr="004D11CB">
        <w:rPr>
          <w:rFonts w:ascii="Arial" w:hAnsi="Arial" w:cs="Arial"/>
          <w:sz w:val="20"/>
          <w:szCs w:val="20"/>
        </w:rPr>
        <w:t xml:space="preserve"> </w:t>
      </w:r>
      <w:r w:rsidRPr="00AE0B9D">
        <w:rPr>
          <w:rFonts w:ascii="Arial" w:hAnsi="Arial" w:cs="Arial"/>
          <w:b/>
          <w:bCs/>
          <w:sz w:val="20"/>
          <w:szCs w:val="20"/>
        </w:rPr>
        <w:t>solicita que se dicte una medida cautelar</w:t>
      </w:r>
      <w:r w:rsidR="00A771F2">
        <w:rPr>
          <w:rFonts w:ascii="Arial" w:hAnsi="Arial" w:cs="Arial"/>
          <w:b/>
          <w:bCs/>
          <w:sz w:val="20"/>
          <w:szCs w:val="20"/>
        </w:rPr>
        <w:t xml:space="preserve">. </w:t>
      </w:r>
      <w:r w:rsidR="00A771F2" w:rsidRPr="007E7922">
        <w:rPr>
          <w:rFonts w:ascii="Arial" w:hAnsi="Arial" w:cs="Arial"/>
          <w:b/>
          <w:bCs/>
          <w:sz w:val="20"/>
          <w:szCs w:val="20"/>
        </w:rPr>
        <w:t>Dictamen de la Procuración</w:t>
      </w:r>
      <w:r w:rsidR="00A771F2">
        <w:rPr>
          <w:rFonts w:ascii="Arial" w:hAnsi="Arial" w:cs="Arial"/>
          <w:sz w:val="20"/>
          <w:szCs w:val="20"/>
        </w:rPr>
        <w:t>: remisión a la causa</w:t>
      </w:r>
      <w:r w:rsidRPr="005B603F">
        <w:rPr>
          <w:rFonts w:ascii="Arial" w:hAnsi="Arial" w:cs="Arial"/>
          <w:i/>
          <w:iCs/>
          <w:color w:val="222A35" w:themeColor="text2" w:themeShade="80"/>
          <w:sz w:val="20"/>
          <w:szCs w:val="20"/>
        </w:rPr>
        <w:t xml:space="preserve"> "</w:t>
      </w:r>
      <w:r w:rsidRPr="00512428">
        <w:rPr>
          <w:rFonts w:ascii="Arial" w:hAnsi="Arial" w:cs="Arial"/>
          <w:b/>
          <w:bCs/>
          <w:i/>
          <w:iCs/>
          <w:color w:val="222A35" w:themeColor="text2" w:themeShade="80"/>
          <w:sz w:val="20"/>
          <w:szCs w:val="20"/>
        </w:rPr>
        <w:t>Colegio de Escribanos de la Ciudad de Buenos Aires c/Buenos Aires, Provincia de s</w:t>
      </w:r>
      <w:r>
        <w:rPr>
          <w:rFonts w:ascii="Arial" w:hAnsi="Arial" w:cs="Arial"/>
          <w:b/>
          <w:bCs/>
          <w:i/>
          <w:iCs/>
          <w:color w:val="222A35" w:themeColor="text2" w:themeShade="80"/>
          <w:sz w:val="20"/>
          <w:szCs w:val="20"/>
        </w:rPr>
        <w:t>/</w:t>
      </w:r>
      <w:r w:rsidRPr="00512428">
        <w:rPr>
          <w:rFonts w:ascii="Arial" w:hAnsi="Arial" w:cs="Arial"/>
          <w:b/>
          <w:bCs/>
          <w:i/>
          <w:iCs/>
          <w:color w:val="222A35" w:themeColor="text2" w:themeShade="80"/>
          <w:sz w:val="20"/>
          <w:szCs w:val="20"/>
        </w:rPr>
        <w:t xml:space="preserve"> acción de amparo</w:t>
      </w:r>
      <w:r w:rsidRPr="005B603F">
        <w:rPr>
          <w:rFonts w:ascii="Arial" w:hAnsi="Arial" w:cs="Arial"/>
          <w:i/>
          <w:iCs/>
          <w:color w:val="222A35" w:themeColor="text2" w:themeShade="80"/>
          <w:sz w:val="20"/>
          <w:szCs w:val="20"/>
        </w:rPr>
        <w:t>", con sentencia de conformidad del 14 de febrero de 2012…..</w:t>
      </w:r>
      <w:r w:rsidR="00A771F2">
        <w:rPr>
          <w:rFonts w:ascii="Arial" w:hAnsi="Arial" w:cs="Arial"/>
          <w:i/>
          <w:iCs/>
          <w:color w:val="222A35" w:themeColor="text2" w:themeShade="80"/>
          <w:sz w:val="20"/>
          <w:szCs w:val="20"/>
        </w:rPr>
        <w:t xml:space="preserve">”. </w:t>
      </w:r>
      <w:r w:rsidR="00A771F2">
        <w:rPr>
          <w:rFonts w:ascii="Arial" w:hAnsi="Arial" w:cs="Arial"/>
          <w:color w:val="222A35" w:themeColor="text2" w:themeShade="80"/>
          <w:sz w:val="20"/>
          <w:szCs w:val="20"/>
        </w:rPr>
        <w:t xml:space="preserve">La </w:t>
      </w:r>
      <w:r w:rsidR="00A771F2" w:rsidRPr="007E7922">
        <w:rPr>
          <w:rFonts w:ascii="Arial" w:hAnsi="Arial" w:cs="Arial"/>
          <w:b/>
          <w:bCs/>
          <w:color w:val="222A35" w:themeColor="text2" w:themeShade="80"/>
          <w:sz w:val="20"/>
          <w:szCs w:val="20"/>
        </w:rPr>
        <w:t>CSJN</w:t>
      </w:r>
      <w:r w:rsidR="00A771F2">
        <w:rPr>
          <w:rFonts w:ascii="Arial" w:hAnsi="Arial" w:cs="Arial"/>
          <w:color w:val="222A35" w:themeColor="text2" w:themeShade="80"/>
          <w:sz w:val="20"/>
          <w:szCs w:val="20"/>
        </w:rPr>
        <w:t xml:space="preserve"> acepta su competencia originaria, pero </w:t>
      </w:r>
      <w:r w:rsidR="00A771F2" w:rsidRPr="00A771F2">
        <w:rPr>
          <w:rFonts w:ascii="Arial" w:hAnsi="Arial" w:cs="Arial"/>
          <w:b/>
          <w:bCs/>
          <w:color w:val="222A35" w:themeColor="text2" w:themeShade="80"/>
          <w:sz w:val="20"/>
          <w:szCs w:val="20"/>
        </w:rPr>
        <w:t>deniega la medida cautelar</w:t>
      </w:r>
      <w:r w:rsidR="00A771F2">
        <w:rPr>
          <w:rFonts w:ascii="Arial" w:hAnsi="Arial" w:cs="Arial"/>
          <w:color w:val="222A35" w:themeColor="text2" w:themeShade="80"/>
          <w:sz w:val="20"/>
          <w:szCs w:val="20"/>
        </w:rPr>
        <w:t xml:space="preserve"> </w:t>
      </w:r>
      <w:r w:rsidR="00A771F2" w:rsidRPr="00A771F2">
        <w:rPr>
          <w:rFonts w:ascii="Arial" w:hAnsi="Arial" w:cs="Arial"/>
          <w:b/>
          <w:bCs/>
          <w:color w:val="222A35" w:themeColor="text2" w:themeShade="80"/>
          <w:sz w:val="20"/>
          <w:szCs w:val="20"/>
        </w:rPr>
        <w:t xml:space="preserve">(excepto en el voto del </w:t>
      </w:r>
      <w:r w:rsidR="00A771F2" w:rsidRPr="00A771F2">
        <w:rPr>
          <w:rFonts w:ascii="Arial" w:hAnsi="Arial" w:cs="Arial"/>
          <w:b/>
          <w:bCs/>
          <w:sz w:val="20"/>
          <w:szCs w:val="20"/>
        </w:rPr>
        <w:t xml:space="preserve">Dr. Fernando </w:t>
      </w:r>
      <w:proofErr w:type="spellStart"/>
      <w:r w:rsidR="00A771F2" w:rsidRPr="00A771F2">
        <w:rPr>
          <w:rFonts w:ascii="Arial" w:hAnsi="Arial" w:cs="Arial"/>
          <w:b/>
          <w:bCs/>
          <w:sz w:val="20"/>
          <w:szCs w:val="20"/>
        </w:rPr>
        <w:t>Rosenkrantz</w:t>
      </w:r>
      <w:proofErr w:type="spellEnd"/>
      <w:r w:rsidR="00A771F2" w:rsidRPr="00A771F2">
        <w:rPr>
          <w:rFonts w:ascii="Arial" w:hAnsi="Arial" w:cs="Arial"/>
          <w:b/>
          <w:bCs/>
          <w:sz w:val="20"/>
          <w:szCs w:val="20"/>
        </w:rPr>
        <w:t>)</w:t>
      </w:r>
      <w:r w:rsidR="00A771F2">
        <w:rPr>
          <w:rFonts w:ascii="Arial" w:hAnsi="Arial" w:cs="Arial"/>
          <w:b/>
          <w:bCs/>
          <w:sz w:val="20"/>
          <w:szCs w:val="20"/>
        </w:rPr>
        <w:t xml:space="preserve">. </w:t>
      </w:r>
      <w:r w:rsidR="00A771F2" w:rsidRPr="00A771F2">
        <w:rPr>
          <w:rFonts w:ascii="Arial" w:hAnsi="Arial" w:cs="Arial"/>
          <w:b/>
          <w:bCs/>
          <w:i/>
          <w:iCs/>
          <w:sz w:val="20"/>
          <w:szCs w:val="20"/>
        </w:rPr>
        <w:t>“Gire S.A. c/ San Luis, Provincia de s/Acción Declarativa de Certeza (16/06/2022)”.</w:t>
      </w:r>
    </w:p>
    <w:p w14:paraId="0063A8C5" w14:textId="77777777" w:rsidR="00064A51" w:rsidRDefault="00064A51" w:rsidP="00064A51">
      <w:pPr>
        <w:pStyle w:val="Prrafodelista"/>
        <w:snapToGrid w:val="0"/>
        <w:spacing w:after="240" w:line="360" w:lineRule="auto"/>
        <w:ind w:left="360"/>
        <w:contextualSpacing w:val="0"/>
        <w:jc w:val="both"/>
        <w:rPr>
          <w:rFonts w:ascii="Arial" w:hAnsi="Arial" w:cs="Arial"/>
          <w:b/>
          <w:bCs/>
          <w:sz w:val="20"/>
          <w:szCs w:val="20"/>
          <w:lang w:val="es-ES_tradnl"/>
        </w:rPr>
      </w:pPr>
    </w:p>
    <w:p w14:paraId="0A4E3655" w14:textId="610803EF" w:rsidR="00064A51" w:rsidRDefault="00064A51" w:rsidP="00064A51">
      <w:pPr>
        <w:snapToGrid w:val="0"/>
        <w:spacing w:after="240" w:line="360" w:lineRule="auto"/>
        <w:jc w:val="both"/>
        <w:rPr>
          <w:rFonts w:ascii="Arial" w:hAnsi="Arial" w:cs="Arial"/>
          <w:b/>
          <w:bCs/>
          <w:sz w:val="20"/>
          <w:szCs w:val="20"/>
          <w:lang w:val="es-ES_tradnl"/>
        </w:rPr>
      </w:pPr>
      <w:r>
        <w:rPr>
          <w:rFonts w:ascii="Arial" w:hAnsi="Arial" w:cs="Arial"/>
          <w:b/>
          <w:bCs/>
          <w:sz w:val="22"/>
          <w:szCs w:val="22"/>
          <w:u w:val="single"/>
          <w:lang w:val="es-ES_tradnl"/>
        </w:rPr>
        <w:t>Procuración General de la Nación</w:t>
      </w:r>
    </w:p>
    <w:p w14:paraId="201A7B72" w14:textId="79EFFBD1" w:rsidR="00064A51" w:rsidRPr="00064A51" w:rsidRDefault="00064A51" w:rsidP="00064A51">
      <w:pPr>
        <w:pStyle w:val="Prrafodelista"/>
        <w:numPr>
          <w:ilvl w:val="0"/>
          <w:numId w:val="3"/>
        </w:numPr>
        <w:snapToGrid w:val="0"/>
        <w:spacing w:after="240" w:line="360" w:lineRule="auto"/>
        <w:contextualSpacing w:val="0"/>
        <w:jc w:val="both"/>
        <w:rPr>
          <w:rFonts w:ascii="Arial" w:hAnsi="Arial" w:cs="Arial"/>
          <w:iCs/>
          <w:color w:val="222A35" w:themeColor="text2" w:themeShade="80"/>
          <w:sz w:val="20"/>
          <w:szCs w:val="20"/>
        </w:rPr>
      </w:pPr>
      <w:r w:rsidRPr="00064A51">
        <w:rPr>
          <w:rFonts w:ascii="Arial" w:hAnsi="Arial" w:cs="Arial"/>
          <w:b/>
          <w:bCs/>
          <w:sz w:val="20"/>
          <w:szCs w:val="20"/>
          <w:lang w:val="es-ES_tradnl"/>
        </w:rPr>
        <w:t xml:space="preserve"> Ingresos Brutos.</w:t>
      </w:r>
      <w:r w:rsidR="006D4DBE">
        <w:rPr>
          <w:rFonts w:ascii="Arial" w:hAnsi="Arial" w:cs="Arial"/>
          <w:sz w:val="20"/>
          <w:szCs w:val="20"/>
          <w:lang w:val="es-ES_tradnl"/>
        </w:rPr>
        <w:t xml:space="preserve"> Incremento extraordinario. Ley 15.311. Alega establecimiento de una aduana interior. </w:t>
      </w:r>
      <w:r w:rsidR="00A04E0D">
        <w:rPr>
          <w:rFonts w:ascii="Arial" w:hAnsi="Arial" w:cs="Arial"/>
          <w:sz w:val="20"/>
          <w:szCs w:val="20"/>
          <w:lang w:val="es-ES_tradnl"/>
        </w:rPr>
        <w:t>Manifiesto contenido federal. Competencia originario de la Corte Suprema de Justicia de la Nación</w:t>
      </w:r>
      <w:r w:rsidRPr="00064A51">
        <w:t xml:space="preserve"> </w:t>
      </w:r>
      <w:r w:rsidR="006D4DBE" w:rsidRPr="006D4DBE">
        <w:rPr>
          <w:b/>
          <w:i/>
        </w:rPr>
        <w:t>“</w:t>
      </w:r>
      <w:r w:rsidRPr="006D4DBE">
        <w:rPr>
          <w:b/>
          <w:i/>
        </w:rPr>
        <w:t>C</w:t>
      </w:r>
      <w:proofErr w:type="spellStart"/>
      <w:r w:rsidRPr="006D4DBE">
        <w:rPr>
          <w:rFonts w:ascii="Arial" w:hAnsi="Arial" w:cs="Arial"/>
          <w:b/>
          <w:i/>
          <w:sz w:val="20"/>
          <w:szCs w:val="20"/>
          <w:lang w:val="es-ES_tradnl"/>
        </w:rPr>
        <w:t>omplejo</w:t>
      </w:r>
      <w:proofErr w:type="spellEnd"/>
      <w:r w:rsidRPr="006D4DBE">
        <w:rPr>
          <w:rFonts w:ascii="Arial" w:hAnsi="Arial" w:cs="Arial"/>
          <w:b/>
          <w:i/>
          <w:sz w:val="20"/>
          <w:szCs w:val="20"/>
          <w:lang w:val="es-ES_tradnl"/>
        </w:rPr>
        <w:t xml:space="preserve"> Portuario S.A. c/ Buenos Aires, provincia de y </w:t>
      </w:r>
      <w:proofErr w:type="spellStart"/>
      <w:r w:rsidRPr="006D4DBE">
        <w:rPr>
          <w:rFonts w:ascii="Arial" w:hAnsi="Arial" w:cs="Arial"/>
          <w:b/>
          <w:i/>
          <w:sz w:val="20"/>
          <w:szCs w:val="20"/>
          <w:lang w:val="es-ES_tradnl"/>
        </w:rPr>
        <w:t>otro s</w:t>
      </w:r>
      <w:proofErr w:type="spellEnd"/>
      <w:r w:rsidRPr="006D4DBE">
        <w:rPr>
          <w:rFonts w:ascii="Arial" w:hAnsi="Arial" w:cs="Arial"/>
          <w:b/>
          <w:i/>
          <w:sz w:val="20"/>
          <w:szCs w:val="20"/>
          <w:lang w:val="es-ES_tradnl"/>
        </w:rPr>
        <w:t>/ Medida Cautelar</w:t>
      </w:r>
      <w:r w:rsidR="006D4DBE" w:rsidRPr="006D4DBE">
        <w:rPr>
          <w:rFonts w:ascii="Arial" w:hAnsi="Arial" w:cs="Arial"/>
          <w:b/>
          <w:i/>
          <w:sz w:val="20"/>
          <w:szCs w:val="20"/>
          <w:lang w:val="es-ES_tradnl"/>
        </w:rPr>
        <w:t>” (14/07/2022)</w:t>
      </w:r>
      <w:r w:rsidRPr="00064A51">
        <w:rPr>
          <w:rFonts w:ascii="Arial" w:hAnsi="Arial" w:cs="Arial"/>
          <w:sz w:val="20"/>
          <w:szCs w:val="20"/>
          <w:lang w:val="es-ES_tradnl"/>
        </w:rPr>
        <w:t>.</w:t>
      </w:r>
      <w:r w:rsidRPr="00064A51">
        <w:rPr>
          <w:rFonts w:ascii="Arial" w:hAnsi="Arial" w:cs="Arial"/>
          <w:sz w:val="20"/>
          <w:szCs w:val="20"/>
          <w:lang w:val="es-ES_tradnl"/>
        </w:rPr>
        <w:cr/>
      </w:r>
    </w:p>
    <w:p w14:paraId="5DB9BF04" w14:textId="1F0B44EA" w:rsidR="00D00907" w:rsidRPr="00D00907" w:rsidRDefault="00D00907" w:rsidP="00D00907">
      <w:pPr>
        <w:snapToGrid w:val="0"/>
        <w:spacing w:after="240" w:line="360" w:lineRule="auto"/>
        <w:jc w:val="both"/>
        <w:rPr>
          <w:rFonts w:ascii="Arial" w:hAnsi="Arial" w:cs="Arial"/>
          <w:b/>
          <w:bCs/>
          <w:sz w:val="22"/>
          <w:szCs w:val="22"/>
          <w:u w:val="single"/>
          <w:lang w:val="es-ES_tradnl"/>
        </w:rPr>
      </w:pPr>
      <w:r w:rsidRPr="00D00907">
        <w:rPr>
          <w:rFonts w:ascii="Arial" w:hAnsi="Arial" w:cs="Arial"/>
          <w:b/>
          <w:bCs/>
          <w:sz w:val="22"/>
          <w:szCs w:val="22"/>
          <w:u w:val="single"/>
          <w:lang w:val="es-ES_tradnl"/>
        </w:rPr>
        <w:t>Suprema Corte de Justicia de la Provincia de Buenos Aires</w:t>
      </w:r>
    </w:p>
    <w:p w14:paraId="0BE3421A" w14:textId="397DA9EA" w:rsidR="009E6CD7" w:rsidRPr="00610BFA" w:rsidRDefault="00D00907" w:rsidP="00A04E0D">
      <w:pPr>
        <w:pStyle w:val="Prrafodelista"/>
        <w:numPr>
          <w:ilvl w:val="0"/>
          <w:numId w:val="3"/>
        </w:numPr>
        <w:snapToGrid w:val="0"/>
        <w:spacing w:after="240" w:line="360" w:lineRule="auto"/>
        <w:contextualSpacing w:val="0"/>
        <w:jc w:val="both"/>
        <w:rPr>
          <w:rFonts w:ascii="Arial" w:hAnsi="Arial" w:cs="Arial"/>
          <w:sz w:val="20"/>
          <w:szCs w:val="20"/>
          <w:lang w:val="es-ES_tradnl"/>
        </w:rPr>
      </w:pPr>
      <w:r w:rsidRPr="008A37F8">
        <w:rPr>
          <w:rFonts w:ascii="Arial" w:hAnsi="Arial" w:cs="Arial"/>
          <w:b/>
          <w:bCs/>
          <w:sz w:val="20"/>
          <w:szCs w:val="20"/>
          <w:lang w:val="es-ES_tradnl"/>
        </w:rPr>
        <w:t xml:space="preserve">Responsabilidad Solidaria. </w:t>
      </w:r>
      <w:r w:rsidRPr="008A37F8">
        <w:rPr>
          <w:rFonts w:ascii="Arial" w:hAnsi="Arial" w:cs="Arial"/>
          <w:sz w:val="20"/>
          <w:szCs w:val="20"/>
          <w:lang w:val="es-ES_tradnl"/>
        </w:rPr>
        <w:t>Recurso Extraordinario Federal Interpuesto por la Fiscalía de Estado contra la sentencia de la SCJBA que hizo lugar al recurso de inaplicabilidad de ley interpuesto por la actora y, en consecuencia, revocó la sentencia impugnada, declarando la inconstitucionalidad</w:t>
      </w:r>
      <w:r w:rsidR="008A37F8" w:rsidRPr="008A37F8">
        <w:rPr>
          <w:rFonts w:ascii="Arial" w:hAnsi="Arial" w:cs="Arial"/>
          <w:sz w:val="20"/>
          <w:szCs w:val="20"/>
          <w:lang w:val="es-ES_tradnl"/>
        </w:rPr>
        <w:t xml:space="preserve"> de los artículos 21 y 24 del CF (PBA). </w:t>
      </w:r>
      <w:r w:rsidR="008A37F8">
        <w:rPr>
          <w:rFonts w:ascii="Arial" w:hAnsi="Arial" w:cs="Arial"/>
          <w:sz w:val="20"/>
          <w:szCs w:val="20"/>
          <w:lang w:val="es-ES_tradnl"/>
        </w:rPr>
        <w:t>El</w:t>
      </w:r>
      <w:r w:rsidR="008A37F8" w:rsidRPr="008A37F8">
        <w:rPr>
          <w:rFonts w:ascii="Arial" w:hAnsi="Arial" w:cs="Arial"/>
          <w:sz w:val="20"/>
          <w:szCs w:val="20"/>
          <w:lang w:val="es-ES_tradnl"/>
        </w:rPr>
        <w:t xml:space="preserve"> Estado Provincial funda la cuestión federal en las doctrinas de la arbitrariedad de sentencia y de la gravedad institucional, así como en la violación de las garantías constitucionales de razonabilidad, defensa en juicio, propiedad, debido proceso, igualdad, acceso a la justicia y autonomía provincial (artículos 1, 5, 14, 16, 17, 18, 19, 75 inc. 12, 121, 122 y 123, de la Constitución Nacional).</w:t>
      </w:r>
      <w:r w:rsidR="008A37F8">
        <w:rPr>
          <w:rFonts w:ascii="Arial" w:hAnsi="Arial" w:cs="Arial"/>
          <w:sz w:val="20"/>
          <w:szCs w:val="20"/>
          <w:lang w:val="es-ES_tradnl"/>
        </w:rPr>
        <w:t xml:space="preserve"> La SCJBA expresa que: </w:t>
      </w:r>
      <w:r w:rsidR="008A37F8" w:rsidRPr="008A37F8">
        <w:rPr>
          <w:rFonts w:ascii="Arial" w:hAnsi="Arial" w:cs="Arial"/>
          <w:i/>
          <w:iCs/>
          <w:sz w:val="20"/>
          <w:szCs w:val="20"/>
          <w:lang w:val="es-ES_tradnl"/>
        </w:rPr>
        <w:t>“si bien se cuestionó la validez de ciertos artículos del Código Fiscal provincial bajo la pretensión de ser contrarios a la Carta Magna nacional, lo cierto es que la sentencia de este Tribunal declaró la inconstitucionalidad del articulado local, lo que conduce a descartar la configuración de la cuestión federal invocada”</w:t>
      </w:r>
      <w:r w:rsidR="008A37F8">
        <w:rPr>
          <w:rFonts w:ascii="Arial" w:hAnsi="Arial" w:cs="Arial"/>
          <w:sz w:val="20"/>
          <w:szCs w:val="20"/>
          <w:lang w:val="es-ES_tradnl"/>
        </w:rPr>
        <w:t xml:space="preserve">. Denegatoria del Recurso Extraordinario Federal. </w:t>
      </w:r>
      <w:r w:rsidR="008A37F8" w:rsidRPr="00BD31EE">
        <w:rPr>
          <w:rFonts w:ascii="Arial" w:hAnsi="Arial" w:cs="Arial"/>
          <w:b/>
          <w:bCs/>
          <w:i/>
          <w:iCs/>
          <w:sz w:val="20"/>
          <w:szCs w:val="20"/>
          <w:lang w:val="es-ES_tradnl"/>
        </w:rPr>
        <w:t xml:space="preserve">“Fisco de la Prov. de Bs. As. c/Insaurralde Miguel Eugenio y </w:t>
      </w:r>
      <w:proofErr w:type="spellStart"/>
      <w:r w:rsidR="008A37F8" w:rsidRPr="00BD31EE">
        <w:rPr>
          <w:rFonts w:ascii="Arial" w:hAnsi="Arial" w:cs="Arial"/>
          <w:b/>
          <w:bCs/>
          <w:i/>
          <w:iCs/>
          <w:sz w:val="20"/>
          <w:szCs w:val="20"/>
          <w:lang w:val="es-ES_tradnl"/>
        </w:rPr>
        <w:t xml:space="preserve">Otro </w:t>
      </w:r>
      <w:r w:rsidR="008A37F8" w:rsidRPr="00610BFA">
        <w:rPr>
          <w:rFonts w:ascii="Arial" w:hAnsi="Arial" w:cs="Arial"/>
          <w:b/>
          <w:bCs/>
          <w:i/>
          <w:iCs/>
          <w:sz w:val="20"/>
          <w:szCs w:val="20"/>
          <w:lang w:val="es-ES_tradnl"/>
        </w:rPr>
        <w:t>s</w:t>
      </w:r>
      <w:proofErr w:type="spellEnd"/>
      <w:r w:rsidR="008A37F8" w:rsidRPr="00610BFA">
        <w:rPr>
          <w:rFonts w:ascii="Arial" w:hAnsi="Arial" w:cs="Arial"/>
          <w:b/>
          <w:bCs/>
          <w:i/>
          <w:iCs/>
          <w:sz w:val="20"/>
          <w:szCs w:val="20"/>
          <w:lang w:val="es-ES_tradnl"/>
        </w:rPr>
        <w:t>/Apremio. Recurso Extraordinario de Inaplicabilidad de Ley (16/05/2022)”</w:t>
      </w:r>
      <w:r w:rsidR="00BD31EE" w:rsidRPr="00610BFA">
        <w:rPr>
          <w:rFonts w:ascii="Arial" w:hAnsi="Arial" w:cs="Arial"/>
          <w:sz w:val="20"/>
          <w:szCs w:val="20"/>
          <w:lang w:val="es-ES_tradnl"/>
        </w:rPr>
        <w:t xml:space="preserve">; </w:t>
      </w:r>
      <w:r w:rsidR="00BD31EE" w:rsidRPr="00610BFA">
        <w:rPr>
          <w:rFonts w:ascii="Arial" w:hAnsi="Arial" w:cs="Arial"/>
          <w:b/>
          <w:bCs/>
          <w:i/>
          <w:iCs/>
          <w:sz w:val="20"/>
          <w:szCs w:val="20"/>
          <w:lang w:val="es-ES_tradnl"/>
        </w:rPr>
        <w:t>“Casón Sebastián Enrique C/ Fisco de La Provincia de Buenos Aires S/ Pretensión Anulatoria. Recurso Extraordinario de Inaplicabilidad de Ley (16/05/2022)”</w:t>
      </w:r>
      <w:r w:rsidR="00BD31EE" w:rsidRPr="00610BFA">
        <w:rPr>
          <w:rFonts w:ascii="Arial" w:hAnsi="Arial" w:cs="Arial"/>
          <w:sz w:val="20"/>
          <w:szCs w:val="20"/>
          <w:lang w:val="es-ES_tradnl"/>
        </w:rPr>
        <w:t xml:space="preserve"> y </w:t>
      </w:r>
      <w:r w:rsidR="00BD31EE" w:rsidRPr="00610BFA">
        <w:rPr>
          <w:rFonts w:ascii="Arial" w:hAnsi="Arial" w:cs="Arial"/>
          <w:b/>
          <w:bCs/>
          <w:i/>
          <w:iCs/>
          <w:sz w:val="20"/>
          <w:szCs w:val="20"/>
          <w:lang w:val="es-ES_tradnl"/>
        </w:rPr>
        <w:t xml:space="preserve">"Toledo Juan Antonio c/ A.R.B.A. s/Incidente </w:t>
      </w:r>
      <w:r w:rsidR="00D61ABD" w:rsidRPr="00610BFA">
        <w:rPr>
          <w:rFonts w:ascii="Arial" w:hAnsi="Arial" w:cs="Arial"/>
          <w:b/>
          <w:bCs/>
          <w:i/>
          <w:iCs/>
          <w:sz w:val="20"/>
          <w:szCs w:val="20"/>
          <w:lang w:val="es-ES_tradnl"/>
        </w:rPr>
        <w:t>d</w:t>
      </w:r>
      <w:r w:rsidR="00BD31EE" w:rsidRPr="00610BFA">
        <w:rPr>
          <w:rFonts w:ascii="Arial" w:hAnsi="Arial" w:cs="Arial"/>
          <w:b/>
          <w:bCs/>
          <w:i/>
          <w:iCs/>
          <w:sz w:val="20"/>
          <w:szCs w:val="20"/>
          <w:lang w:val="es-ES_tradnl"/>
        </w:rPr>
        <w:t>e Revisión (12/05/2022)"</w:t>
      </w:r>
      <w:r w:rsidR="00BD31EE" w:rsidRPr="00610BFA">
        <w:rPr>
          <w:rFonts w:ascii="Arial" w:hAnsi="Arial" w:cs="Arial"/>
          <w:sz w:val="20"/>
          <w:szCs w:val="20"/>
          <w:lang w:val="es-ES_tradnl"/>
        </w:rPr>
        <w:t>.</w:t>
      </w:r>
    </w:p>
    <w:p w14:paraId="1A5FAB54" w14:textId="77777777" w:rsidR="002E76D2" w:rsidRPr="0071794C" w:rsidRDefault="002E76D2" w:rsidP="002E76D2">
      <w:pPr>
        <w:snapToGrid w:val="0"/>
        <w:spacing w:after="240" w:line="360" w:lineRule="auto"/>
        <w:jc w:val="both"/>
        <w:rPr>
          <w:rFonts w:ascii="Arial" w:hAnsi="Arial" w:cs="Arial"/>
          <w:b/>
          <w:bCs/>
          <w:sz w:val="22"/>
          <w:szCs w:val="22"/>
          <w:u w:val="single"/>
          <w:lang w:val="es-ES_tradnl"/>
        </w:rPr>
      </w:pPr>
    </w:p>
    <w:p w14:paraId="633C62D8" w14:textId="1C501D9A" w:rsidR="002E76D2" w:rsidRPr="0071794C" w:rsidRDefault="002E76D2" w:rsidP="002E76D2">
      <w:pPr>
        <w:snapToGrid w:val="0"/>
        <w:spacing w:after="240" w:line="360" w:lineRule="auto"/>
        <w:jc w:val="both"/>
        <w:rPr>
          <w:rFonts w:ascii="Arial" w:hAnsi="Arial" w:cs="Arial"/>
          <w:b/>
          <w:bCs/>
          <w:sz w:val="22"/>
          <w:szCs w:val="22"/>
          <w:u w:val="single"/>
          <w:lang w:val="es-ES_tradnl"/>
        </w:rPr>
      </w:pPr>
      <w:r>
        <w:rPr>
          <w:rFonts w:ascii="Arial" w:hAnsi="Arial" w:cs="Arial"/>
          <w:b/>
          <w:bCs/>
          <w:sz w:val="22"/>
          <w:szCs w:val="22"/>
          <w:u w:val="single"/>
          <w:lang w:val="es-ES_tradnl"/>
        </w:rPr>
        <w:t>Cámara de Apelaciones en lo Contencioso Administrativo</w:t>
      </w:r>
      <w:r w:rsidR="00E47E1C">
        <w:rPr>
          <w:rFonts w:ascii="Arial" w:hAnsi="Arial" w:cs="Arial"/>
          <w:b/>
          <w:bCs/>
          <w:sz w:val="22"/>
          <w:szCs w:val="22"/>
          <w:u w:val="single"/>
          <w:lang w:val="es-ES_tradnl"/>
        </w:rPr>
        <w:t>. Tucumán</w:t>
      </w:r>
      <w:r>
        <w:rPr>
          <w:rFonts w:ascii="Arial" w:hAnsi="Arial" w:cs="Arial"/>
          <w:b/>
          <w:bCs/>
          <w:sz w:val="22"/>
          <w:szCs w:val="22"/>
          <w:u w:val="single"/>
          <w:lang w:val="es-ES_tradnl"/>
        </w:rPr>
        <w:t xml:space="preserve"> </w:t>
      </w:r>
    </w:p>
    <w:p w14:paraId="1EA8F48D" w14:textId="375194CA" w:rsidR="002E76D2" w:rsidRPr="00BD5C49" w:rsidRDefault="00E47E1C" w:rsidP="00BD5C49">
      <w:pPr>
        <w:pStyle w:val="Prrafodelista"/>
        <w:numPr>
          <w:ilvl w:val="0"/>
          <w:numId w:val="3"/>
        </w:numPr>
        <w:snapToGrid w:val="0"/>
        <w:spacing w:after="240" w:line="360" w:lineRule="auto"/>
        <w:jc w:val="both"/>
        <w:rPr>
          <w:rFonts w:ascii="Arial" w:hAnsi="Arial" w:cs="Arial"/>
          <w:bCs/>
          <w:sz w:val="20"/>
          <w:szCs w:val="20"/>
          <w:lang w:val="es-ES_tradnl"/>
        </w:rPr>
      </w:pPr>
      <w:r>
        <w:rPr>
          <w:rFonts w:ascii="Arial" w:hAnsi="Arial" w:cs="Arial"/>
          <w:b/>
          <w:bCs/>
          <w:sz w:val="20"/>
          <w:szCs w:val="20"/>
          <w:lang w:val="es-ES_tradnl"/>
        </w:rPr>
        <w:t xml:space="preserve">Impuesto sobre </w:t>
      </w:r>
      <w:r w:rsidR="00BD5C49">
        <w:rPr>
          <w:rFonts w:ascii="Arial" w:hAnsi="Arial" w:cs="Arial"/>
          <w:b/>
          <w:bCs/>
          <w:sz w:val="20"/>
          <w:szCs w:val="20"/>
          <w:lang w:val="es-ES_tradnl"/>
        </w:rPr>
        <w:t>los ingresos brutos.</w:t>
      </w:r>
      <w:r w:rsidR="002E76D2">
        <w:rPr>
          <w:rFonts w:ascii="Arial" w:hAnsi="Arial" w:cs="Arial"/>
          <w:b/>
          <w:bCs/>
          <w:sz w:val="20"/>
          <w:szCs w:val="20"/>
          <w:lang w:val="es-ES_tradnl"/>
        </w:rPr>
        <w:t xml:space="preserve"> </w:t>
      </w:r>
      <w:r w:rsidR="00044D57">
        <w:rPr>
          <w:rFonts w:ascii="Arial" w:hAnsi="Arial" w:cs="Arial"/>
          <w:bCs/>
          <w:sz w:val="20"/>
          <w:szCs w:val="20"/>
          <w:lang w:val="es-ES_tradnl"/>
        </w:rPr>
        <w:t xml:space="preserve">Comisionista. Base imponible aplicable. </w:t>
      </w:r>
      <w:proofErr w:type="spellStart"/>
      <w:r w:rsidR="00044D57">
        <w:rPr>
          <w:rFonts w:ascii="Arial" w:hAnsi="Arial" w:cs="Arial"/>
          <w:bCs/>
          <w:sz w:val="20"/>
          <w:szCs w:val="20"/>
          <w:lang w:val="es-ES_tradnl"/>
        </w:rPr>
        <w:t>Difrencia</w:t>
      </w:r>
      <w:proofErr w:type="spellEnd"/>
      <w:r w:rsidR="00044D57">
        <w:rPr>
          <w:rFonts w:ascii="Arial" w:hAnsi="Arial" w:cs="Arial"/>
          <w:bCs/>
          <w:sz w:val="20"/>
          <w:szCs w:val="20"/>
          <w:lang w:val="es-ES_tradnl"/>
        </w:rPr>
        <w:t xml:space="preserve"> entre compras y ventas. Ausencia de cuenta de venta y líquido producto. Se hace lugar a la demanda</w:t>
      </w:r>
      <w:bookmarkStart w:id="0" w:name="_GoBack"/>
      <w:bookmarkEnd w:id="0"/>
      <w:r w:rsidR="002E76D2">
        <w:rPr>
          <w:rFonts w:ascii="Arial" w:hAnsi="Arial" w:cs="Arial"/>
          <w:bCs/>
          <w:sz w:val="20"/>
          <w:szCs w:val="20"/>
          <w:lang w:val="es-ES_tradnl"/>
        </w:rPr>
        <w:t xml:space="preserve"> “</w:t>
      </w:r>
      <w:proofErr w:type="spellStart"/>
      <w:r w:rsidR="00BD5C49">
        <w:rPr>
          <w:rFonts w:ascii="Arial" w:hAnsi="Arial" w:cs="Arial"/>
          <w:b/>
          <w:bCs/>
          <w:i/>
          <w:iCs/>
          <w:sz w:val="20"/>
          <w:szCs w:val="20"/>
          <w:lang w:val="es-ES_tradnl"/>
        </w:rPr>
        <w:t>Kieba</w:t>
      </w:r>
      <w:proofErr w:type="spellEnd"/>
      <w:r w:rsidR="00BD5C49">
        <w:rPr>
          <w:rFonts w:ascii="Arial" w:hAnsi="Arial" w:cs="Arial"/>
          <w:b/>
          <w:bCs/>
          <w:i/>
          <w:iCs/>
          <w:sz w:val="20"/>
          <w:szCs w:val="20"/>
          <w:lang w:val="es-ES_tradnl"/>
        </w:rPr>
        <w:t xml:space="preserve"> Servicios SRL c/Provincia de Tucumán</w:t>
      </w:r>
      <w:r w:rsidR="0023670D">
        <w:rPr>
          <w:rFonts w:ascii="Arial" w:hAnsi="Arial" w:cs="Arial"/>
          <w:b/>
          <w:bCs/>
          <w:i/>
          <w:iCs/>
          <w:sz w:val="20"/>
          <w:szCs w:val="20"/>
          <w:lang w:val="es-ES_tradnl"/>
        </w:rPr>
        <w:t xml:space="preserve"> s/ </w:t>
      </w:r>
      <w:r w:rsidR="00BD5C49">
        <w:rPr>
          <w:rFonts w:ascii="Arial" w:hAnsi="Arial" w:cs="Arial"/>
          <w:b/>
          <w:bCs/>
          <w:i/>
          <w:iCs/>
          <w:sz w:val="20"/>
          <w:szCs w:val="20"/>
          <w:lang w:val="es-ES_tradnl"/>
        </w:rPr>
        <w:t>Acción Meramente Declarativa” (Sala I)</w:t>
      </w:r>
      <w:r w:rsidR="0023670D" w:rsidRPr="00BD5C49">
        <w:rPr>
          <w:rFonts w:ascii="Arial" w:hAnsi="Arial" w:cs="Arial"/>
          <w:b/>
          <w:bCs/>
          <w:i/>
          <w:iCs/>
          <w:sz w:val="20"/>
          <w:szCs w:val="20"/>
          <w:lang w:val="es-ES_tradnl"/>
        </w:rPr>
        <w:t xml:space="preserve"> (1</w:t>
      </w:r>
      <w:r w:rsidR="00BD5C49">
        <w:rPr>
          <w:rFonts w:ascii="Arial" w:hAnsi="Arial" w:cs="Arial"/>
          <w:b/>
          <w:bCs/>
          <w:i/>
          <w:iCs/>
          <w:sz w:val="20"/>
          <w:szCs w:val="20"/>
          <w:lang w:val="es-ES_tradnl"/>
        </w:rPr>
        <w:t>2</w:t>
      </w:r>
      <w:r w:rsidR="0023670D" w:rsidRPr="00BD5C49">
        <w:rPr>
          <w:rFonts w:ascii="Arial" w:hAnsi="Arial" w:cs="Arial"/>
          <w:b/>
          <w:bCs/>
          <w:i/>
          <w:iCs/>
          <w:sz w:val="20"/>
          <w:szCs w:val="20"/>
          <w:lang w:val="es-ES_tradnl"/>
        </w:rPr>
        <w:t>/0</w:t>
      </w:r>
      <w:r w:rsidR="00BD5C49">
        <w:rPr>
          <w:rFonts w:ascii="Arial" w:hAnsi="Arial" w:cs="Arial"/>
          <w:b/>
          <w:bCs/>
          <w:i/>
          <w:iCs/>
          <w:sz w:val="20"/>
          <w:szCs w:val="20"/>
          <w:lang w:val="es-ES_tradnl"/>
        </w:rPr>
        <w:t>8</w:t>
      </w:r>
      <w:r w:rsidR="0023670D" w:rsidRPr="00BD5C49">
        <w:rPr>
          <w:rFonts w:ascii="Arial" w:hAnsi="Arial" w:cs="Arial"/>
          <w:b/>
          <w:bCs/>
          <w:i/>
          <w:iCs/>
          <w:sz w:val="20"/>
          <w:szCs w:val="20"/>
          <w:lang w:val="es-ES_tradnl"/>
        </w:rPr>
        <w:t>/2022).</w:t>
      </w:r>
    </w:p>
    <w:p w14:paraId="0BCCDDCD" w14:textId="77777777" w:rsidR="0071794C" w:rsidRDefault="0071794C" w:rsidP="00D61ABD">
      <w:pPr>
        <w:snapToGrid w:val="0"/>
        <w:spacing w:after="240" w:line="360" w:lineRule="auto"/>
        <w:jc w:val="both"/>
        <w:rPr>
          <w:rFonts w:ascii="Arial" w:hAnsi="Arial" w:cs="Arial"/>
          <w:b/>
          <w:bCs/>
          <w:sz w:val="22"/>
          <w:szCs w:val="22"/>
          <w:u w:val="single"/>
          <w:lang w:val="es-ES_tradnl"/>
        </w:rPr>
      </w:pPr>
    </w:p>
    <w:p w14:paraId="6082F0E0" w14:textId="77777777" w:rsidR="002E76D2" w:rsidRDefault="002E76D2" w:rsidP="00D61ABD">
      <w:pPr>
        <w:snapToGrid w:val="0"/>
        <w:spacing w:after="240" w:line="360" w:lineRule="auto"/>
        <w:jc w:val="both"/>
        <w:rPr>
          <w:rFonts w:ascii="Arial" w:hAnsi="Arial" w:cs="Arial"/>
          <w:b/>
          <w:bCs/>
          <w:sz w:val="22"/>
          <w:szCs w:val="22"/>
          <w:u w:val="single"/>
          <w:lang w:val="es-ES_tradnl"/>
        </w:rPr>
      </w:pPr>
    </w:p>
    <w:p w14:paraId="0E9D56BF" w14:textId="01C6CE27" w:rsidR="00E47E1C" w:rsidRPr="0071794C" w:rsidRDefault="00E47E1C" w:rsidP="00E47E1C">
      <w:pPr>
        <w:snapToGrid w:val="0"/>
        <w:spacing w:after="240" w:line="360" w:lineRule="auto"/>
        <w:jc w:val="both"/>
        <w:rPr>
          <w:rFonts w:ascii="Arial" w:hAnsi="Arial" w:cs="Arial"/>
          <w:b/>
          <w:bCs/>
          <w:sz w:val="22"/>
          <w:szCs w:val="22"/>
          <w:u w:val="single"/>
          <w:lang w:val="es-ES_tradnl"/>
        </w:rPr>
      </w:pPr>
      <w:r>
        <w:rPr>
          <w:rFonts w:ascii="Arial" w:hAnsi="Arial" w:cs="Arial"/>
          <w:b/>
          <w:bCs/>
          <w:sz w:val="22"/>
          <w:szCs w:val="22"/>
          <w:u w:val="single"/>
          <w:lang w:val="es-ES_tradnl"/>
        </w:rPr>
        <w:t>Cámara de Apelaciones en lo Contencioso A</w:t>
      </w:r>
      <w:r>
        <w:rPr>
          <w:rFonts w:ascii="Arial" w:hAnsi="Arial" w:cs="Arial"/>
          <w:b/>
          <w:bCs/>
          <w:sz w:val="22"/>
          <w:szCs w:val="22"/>
          <w:u w:val="single"/>
          <w:lang w:val="es-ES_tradnl"/>
        </w:rPr>
        <w:t xml:space="preserve">dministrativo </w:t>
      </w:r>
      <w:r>
        <w:rPr>
          <w:rFonts w:ascii="Arial" w:hAnsi="Arial" w:cs="Arial"/>
          <w:b/>
          <w:bCs/>
          <w:sz w:val="22"/>
          <w:szCs w:val="22"/>
          <w:u w:val="single"/>
          <w:lang w:val="es-ES_tradnl"/>
        </w:rPr>
        <w:t xml:space="preserve">Tributario </w:t>
      </w:r>
      <w:r>
        <w:rPr>
          <w:rFonts w:ascii="Arial" w:hAnsi="Arial" w:cs="Arial"/>
          <w:b/>
          <w:bCs/>
          <w:sz w:val="22"/>
          <w:szCs w:val="22"/>
          <w:u w:val="single"/>
          <w:lang w:val="es-ES_tradnl"/>
        </w:rPr>
        <w:t>y</w:t>
      </w:r>
      <w:r>
        <w:rPr>
          <w:rFonts w:ascii="Arial" w:hAnsi="Arial" w:cs="Arial"/>
          <w:b/>
          <w:bCs/>
          <w:sz w:val="22"/>
          <w:szCs w:val="22"/>
          <w:u w:val="single"/>
          <w:lang w:val="es-ES_tradnl"/>
        </w:rPr>
        <w:t xml:space="preserve"> Relaciones de Consumo de la Ciudad Autónoma de Buenos Aires </w:t>
      </w:r>
    </w:p>
    <w:p w14:paraId="45159CB3" w14:textId="77777777" w:rsidR="00E47E1C" w:rsidRPr="0071794C" w:rsidRDefault="00E47E1C" w:rsidP="00E47E1C">
      <w:pPr>
        <w:pStyle w:val="Prrafodelista"/>
        <w:numPr>
          <w:ilvl w:val="0"/>
          <w:numId w:val="3"/>
        </w:numPr>
        <w:snapToGrid w:val="0"/>
        <w:spacing w:after="240" w:line="360" w:lineRule="auto"/>
        <w:jc w:val="both"/>
        <w:rPr>
          <w:rFonts w:ascii="Arial" w:hAnsi="Arial" w:cs="Arial"/>
          <w:bCs/>
          <w:sz w:val="20"/>
          <w:szCs w:val="20"/>
          <w:lang w:val="es-ES_tradnl"/>
        </w:rPr>
      </w:pPr>
      <w:r w:rsidRPr="0071794C">
        <w:rPr>
          <w:rFonts w:ascii="Arial" w:hAnsi="Arial" w:cs="Arial"/>
          <w:b/>
          <w:bCs/>
          <w:sz w:val="20"/>
          <w:szCs w:val="20"/>
          <w:lang w:val="es-ES_tradnl"/>
        </w:rPr>
        <w:t>Pago Provisorio de Impuestos vencidos</w:t>
      </w:r>
      <w:r>
        <w:rPr>
          <w:rFonts w:ascii="Arial" w:hAnsi="Arial" w:cs="Arial"/>
          <w:b/>
          <w:bCs/>
          <w:sz w:val="20"/>
          <w:szCs w:val="20"/>
          <w:lang w:val="es-ES_tradnl"/>
        </w:rPr>
        <w:t xml:space="preserve">. </w:t>
      </w:r>
      <w:r>
        <w:rPr>
          <w:rFonts w:ascii="Arial" w:hAnsi="Arial" w:cs="Arial"/>
          <w:bCs/>
          <w:sz w:val="20"/>
          <w:szCs w:val="20"/>
          <w:lang w:val="es-ES_tradnl"/>
        </w:rPr>
        <w:t>Procedimiento excepcional. Presentación tardía de las declaraciones juradas del impuesto sobre los ingresos brutos</w:t>
      </w:r>
      <w:r w:rsidRPr="00341B04">
        <w:rPr>
          <w:rFonts w:ascii="Arial" w:hAnsi="Arial" w:cs="Arial"/>
          <w:bCs/>
          <w:sz w:val="20"/>
          <w:szCs w:val="20"/>
          <w:lang w:val="es-ES_tradnl"/>
        </w:rPr>
        <w:t>.</w:t>
      </w:r>
      <w:r>
        <w:rPr>
          <w:rFonts w:ascii="Arial" w:hAnsi="Arial" w:cs="Arial"/>
          <w:bCs/>
          <w:sz w:val="20"/>
          <w:szCs w:val="20"/>
          <w:lang w:val="es-ES_tradnl"/>
        </w:rPr>
        <w:t xml:space="preserve"> “</w:t>
      </w:r>
      <w:r>
        <w:rPr>
          <w:rFonts w:ascii="Arial" w:hAnsi="Arial" w:cs="Arial"/>
          <w:b/>
          <w:bCs/>
          <w:i/>
          <w:iCs/>
          <w:sz w:val="20"/>
          <w:szCs w:val="20"/>
          <w:lang w:val="es-ES_tradnl"/>
        </w:rPr>
        <w:t xml:space="preserve">GCBA c/ </w:t>
      </w:r>
      <w:proofErr w:type="spellStart"/>
      <w:r>
        <w:rPr>
          <w:rFonts w:ascii="Arial" w:hAnsi="Arial" w:cs="Arial"/>
          <w:b/>
          <w:bCs/>
          <w:i/>
          <w:iCs/>
          <w:sz w:val="20"/>
          <w:szCs w:val="20"/>
          <w:lang w:val="es-ES_tradnl"/>
        </w:rPr>
        <w:t>Baux</w:t>
      </w:r>
      <w:proofErr w:type="spellEnd"/>
      <w:r>
        <w:rPr>
          <w:rFonts w:ascii="Arial" w:hAnsi="Arial" w:cs="Arial"/>
          <w:b/>
          <w:bCs/>
          <w:i/>
          <w:iCs/>
          <w:sz w:val="20"/>
          <w:szCs w:val="20"/>
          <w:lang w:val="es-ES_tradnl"/>
        </w:rPr>
        <w:t xml:space="preserve"> S.A. s/ Ejecución Fiscal</w:t>
      </w:r>
      <w:r w:rsidRPr="00341B04">
        <w:rPr>
          <w:rFonts w:ascii="Arial" w:hAnsi="Arial" w:cs="Arial"/>
          <w:b/>
          <w:bCs/>
          <w:i/>
          <w:iCs/>
          <w:sz w:val="20"/>
          <w:szCs w:val="20"/>
          <w:lang w:val="es-ES_tradnl"/>
        </w:rPr>
        <w:t xml:space="preserve"> "</w:t>
      </w:r>
      <w:r>
        <w:rPr>
          <w:rFonts w:ascii="Arial" w:hAnsi="Arial" w:cs="Arial"/>
          <w:b/>
          <w:bCs/>
          <w:i/>
          <w:iCs/>
          <w:sz w:val="20"/>
          <w:szCs w:val="20"/>
          <w:lang w:val="es-ES_tradnl"/>
        </w:rPr>
        <w:t>, sala III (11/07/2022).</w:t>
      </w:r>
    </w:p>
    <w:p w14:paraId="69296B85" w14:textId="77777777" w:rsidR="00E47E1C" w:rsidRDefault="00E47E1C" w:rsidP="00E47E1C">
      <w:pPr>
        <w:snapToGrid w:val="0"/>
        <w:spacing w:after="240" w:line="360" w:lineRule="auto"/>
        <w:jc w:val="both"/>
        <w:rPr>
          <w:rFonts w:ascii="Arial" w:hAnsi="Arial" w:cs="Arial"/>
          <w:b/>
          <w:bCs/>
          <w:sz w:val="22"/>
          <w:szCs w:val="22"/>
          <w:u w:val="single"/>
          <w:lang w:val="es-ES_tradnl"/>
        </w:rPr>
      </w:pPr>
    </w:p>
    <w:p w14:paraId="0B1D5FEB" w14:textId="12176879" w:rsidR="0071794C" w:rsidRPr="0071794C" w:rsidRDefault="0071794C" w:rsidP="0071794C">
      <w:pPr>
        <w:snapToGrid w:val="0"/>
        <w:spacing w:after="240" w:line="360" w:lineRule="auto"/>
        <w:jc w:val="both"/>
        <w:rPr>
          <w:rFonts w:ascii="Arial" w:hAnsi="Arial" w:cs="Arial"/>
          <w:b/>
          <w:bCs/>
          <w:sz w:val="22"/>
          <w:szCs w:val="22"/>
          <w:u w:val="single"/>
          <w:lang w:val="es-ES_tradnl"/>
        </w:rPr>
      </w:pPr>
      <w:r w:rsidRPr="0071794C">
        <w:rPr>
          <w:rFonts w:ascii="Arial" w:hAnsi="Arial" w:cs="Arial"/>
          <w:b/>
          <w:bCs/>
          <w:sz w:val="22"/>
          <w:szCs w:val="22"/>
          <w:u w:val="single"/>
          <w:lang w:val="es-ES_tradnl"/>
        </w:rPr>
        <w:t>Juzgado en lo Contencioso Administrativo N° 3. La Plata</w:t>
      </w:r>
    </w:p>
    <w:p w14:paraId="2295A98C" w14:textId="1F9E5BC3" w:rsidR="0071794C" w:rsidRPr="0071794C" w:rsidRDefault="0071794C" w:rsidP="0071794C">
      <w:pPr>
        <w:pStyle w:val="Prrafodelista"/>
        <w:numPr>
          <w:ilvl w:val="0"/>
          <w:numId w:val="3"/>
        </w:numPr>
        <w:snapToGrid w:val="0"/>
        <w:spacing w:after="240" w:line="360" w:lineRule="auto"/>
        <w:jc w:val="both"/>
        <w:rPr>
          <w:rFonts w:ascii="Arial" w:hAnsi="Arial" w:cs="Arial"/>
          <w:bCs/>
          <w:sz w:val="20"/>
          <w:szCs w:val="20"/>
          <w:lang w:val="es-ES_tradnl"/>
        </w:rPr>
      </w:pPr>
      <w:r w:rsidRPr="0071794C">
        <w:rPr>
          <w:rFonts w:ascii="Arial" w:hAnsi="Arial" w:cs="Arial"/>
          <w:b/>
          <w:bCs/>
          <w:sz w:val="20"/>
          <w:szCs w:val="20"/>
          <w:lang w:val="es-ES_tradnl"/>
        </w:rPr>
        <w:t>Pago Provisorio de Impuestos vencidos</w:t>
      </w:r>
      <w:r w:rsidR="00341B04">
        <w:rPr>
          <w:rFonts w:ascii="Arial" w:hAnsi="Arial" w:cs="Arial"/>
          <w:b/>
          <w:bCs/>
          <w:sz w:val="20"/>
          <w:szCs w:val="20"/>
          <w:lang w:val="es-ES_tradnl"/>
        </w:rPr>
        <w:t xml:space="preserve">. </w:t>
      </w:r>
      <w:r w:rsidR="00341B04">
        <w:rPr>
          <w:rFonts w:ascii="Arial" w:hAnsi="Arial" w:cs="Arial"/>
          <w:bCs/>
          <w:sz w:val="20"/>
          <w:szCs w:val="20"/>
          <w:lang w:val="es-ES_tradnl"/>
        </w:rPr>
        <w:t>Ausencia de intimación previa. L</w:t>
      </w:r>
      <w:r w:rsidR="00341B04" w:rsidRPr="00341B04">
        <w:rPr>
          <w:rFonts w:ascii="Arial" w:hAnsi="Arial" w:cs="Arial"/>
          <w:bCs/>
          <w:sz w:val="20"/>
          <w:szCs w:val="20"/>
          <w:lang w:val="es-ES_tradnl"/>
        </w:rPr>
        <w:t xml:space="preserve">iquidación </w:t>
      </w:r>
      <w:proofErr w:type="spellStart"/>
      <w:r w:rsidR="00341B04" w:rsidRPr="00341B04">
        <w:rPr>
          <w:rFonts w:ascii="Arial" w:hAnsi="Arial" w:cs="Arial"/>
          <w:bCs/>
          <w:sz w:val="20"/>
          <w:szCs w:val="20"/>
          <w:lang w:val="es-ES_tradnl"/>
        </w:rPr>
        <w:t>express</w:t>
      </w:r>
      <w:proofErr w:type="spellEnd"/>
      <w:r w:rsidR="00341B04" w:rsidRPr="00341B04">
        <w:rPr>
          <w:rFonts w:ascii="Arial" w:hAnsi="Arial" w:cs="Arial"/>
          <w:bCs/>
          <w:sz w:val="20"/>
          <w:szCs w:val="20"/>
          <w:lang w:val="es-ES_tradnl"/>
        </w:rPr>
        <w:t>. Inconstitucionalidad. Por violación</w:t>
      </w:r>
      <w:r w:rsidR="00341B04">
        <w:rPr>
          <w:rFonts w:ascii="Arial" w:hAnsi="Arial" w:cs="Arial"/>
          <w:bCs/>
          <w:sz w:val="20"/>
          <w:szCs w:val="20"/>
          <w:lang w:val="es-ES_tradnl"/>
        </w:rPr>
        <w:t xml:space="preserve"> </w:t>
      </w:r>
      <w:r w:rsidR="00341B04" w:rsidRPr="00341B04">
        <w:rPr>
          <w:rFonts w:ascii="Arial" w:hAnsi="Arial" w:cs="Arial"/>
          <w:bCs/>
          <w:sz w:val="20"/>
          <w:szCs w:val="20"/>
          <w:lang w:val="es-ES_tradnl"/>
        </w:rPr>
        <w:t>al derecho de defensa.</w:t>
      </w:r>
      <w:r w:rsidR="00341B04">
        <w:rPr>
          <w:rFonts w:ascii="Arial" w:hAnsi="Arial" w:cs="Arial"/>
          <w:bCs/>
          <w:sz w:val="20"/>
          <w:szCs w:val="20"/>
          <w:lang w:val="es-ES_tradnl"/>
        </w:rPr>
        <w:t xml:space="preserve"> “</w:t>
      </w:r>
      <w:r w:rsidR="00341B04">
        <w:rPr>
          <w:rFonts w:ascii="Arial" w:hAnsi="Arial" w:cs="Arial"/>
          <w:b/>
          <w:bCs/>
          <w:i/>
          <w:iCs/>
          <w:sz w:val="20"/>
          <w:szCs w:val="20"/>
          <w:lang w:val="es-ES_tradnl"/>
        </w:rPr>
        <w:t xml:space="preserve">Distribuidora Abel </w:t>
      </w:r>
      <w:proofErr w:type="spellStart"/>
      <w:r w:rsidR="00341B04">
        <w:rPr>
          <w:rFonts w:ascii="Arial" w:hAnsi="Arial" w:cs="Arial"/>
          <w:b/>
          <w:bCs/>
          <w:i/>
          <w:iCs/>
          <w:sz w:val="20"/>
          <w:szCs w:val="20"/>
          <w:lang w:val="es-ES_tradnl"/>
        </w:rPr>
        <w:t>A</w:t>
      </w:r>
      <w:r w:rsidR="00341B04" w:rsidRPr="00341B04">
        <w:rPr>
          <w:rFonts w:ascii="Arial" w:hAnsi="Arial" w:cs="Arial"/>
          <w:b/>
          <w:bCs/>
          <w:i/>
          <w:iCs/>
          <w:sz w:val="20"/>
          <w:szCs w:val="20"/>
          <w:lang w:val="es-ES_tradnl"/>
        </w:rPr>
        <w:t>rocena</w:t>
      </w:r>
      <w:proofErr w:type="spellEnd"/>
      <w:r w:rsidR="00341B04" w:rsidRPr="00341B04">
        <w:rPr>
          <w:rFonts w:ascii="Arial" w:hAnsi="Arial" w:cs="Arial"/>
          <w:b/>
          <w:bCs/>
          <w:i/>
          <w:iCs/>
          <w:sz w:val="20"/>
          <w:szCs w:val="20"/>
          <w:lang w:val="es-ES_tradnl"/>
        </w:rPr>
        <w:t xml:space="preserve"> </w:t>
      </w:r>
      <w:r w:rsidR="00341B04">
        <w:rPr>
          <w:rFonts w:ascii="Arial" w:hAnsi="Arial" w:cs="Arial"/>
          <w:b/>
          <w:bCs/>
          <w:i/>
          <w:iCs/>
          <w:sz w:val="20"/>
          <w:szCs w:val="20"/>
          <w:lang w:val="es-ES_tradnl"/>
        </w:rPr>
        <w:t>SA</w:t>
      </w:r>
      <w:r w:rsidR="00341B04" w:rsidRPr="00341B04">
        <w:rPr>
          <w:rFonts w:ascii="Arial" w:hAnsi="Arial" w:cs="Arial"/>
          <w:b/>
          <w:bCs/>
          <w:i/>
          <w:iCs/>
          <w:sz w:val="20"/>
          <w:szCs w:val="20"/>
          <w:lang w:val="es-ES_tradnl"/>
        </w:rPr>
        <w:t xml:space="preserve"> </w:t>
      </w:r>
      <w:r w:rsidR="00341B04">
        <w:rPr>
          <w:rFonts w:ascii="Arial" w:hAnsi="Arial" w:cs="Arial"/>
          <w:b/>
          <w:bCs/>
          <w:i/>
          <w:iCs/>
          <w:sz w:val="20"/>
          <w:szCs w:val="20"/>
          <w:lang w:val="es-ES_tradnl"/>
        </w:rPr>
        <w:t>c/ARBA s/pretensió</w:t>
      </w:r>
      <w:r w:rsidR="00341B04" w:rsidRPr="00341B04">
        <w:rPr>
          <w:rFonts w:ascii="Arial" w:hAnsi="Arial" w:cs="Arial"/>
          <w:b/>
          <w:bCs/>
          <w:i/>
          <w:iCs/>
          <w:sz w:val="20"/>
          <w:szCs w:val="20"/>
          <w:lang w:val="es-ES_tradnl"/>
        </w:rPr>
        <w:t>n anulatoria - otros juicios"</w:t>
      </w:r>
    </w:p>
    <w:p w14:paraId="4D65BDF0" w14:textId="77777777" w:rsidR="0071794C" w:rsidRDefault="0071794C" w:rsidP="00D61ABD">
      <w:pPr>
        <w:snapToGrid w:val="0"/>
        <w:spacing w:after="240" w:line="360" w:lineRule="auto"/>
        <w:jc w:val="both"/>
        <w:rPr>
          <w:rFonts w:ascii="Arial" w:hAnsi="Arial" w:cs="Arial"/>
          <w:b/>
          <w:bCs/>
          <w:sz w:val="22"/>
          <w:szCs w:val="22"/>
          <w:u w:val="single"/>
          <w:lang w:val="es-ES_tradnl"/>
        </w:rPr>
      </w:pPr>
    </w:p>
    <w:p w14:paraId="2BE4DB04" w14:textId="1E3CD901" w:rsidR="00D61ABD" w:rsidRDefault="00D61ABD" w:rsidP="00D61ABD">
      <w:pPr>
        <w:snapToGrid w:val="0"/>
        <w:spacing w:after="240" w:line="360" w:lineRule="auto"/>
        <w:jc w:val="both"/>
        <w:rPr>
          <w:rFonts w:ascii="Arial" w:hAnsi="Arial" w:cs="Arial"/>
          <w:b/>
          <w:bCs/>
          <w:sz w:val="22"/>
          <w:szCs w:val="22"/>
          <w:u w:val="single"/>
          <w:lang w:val="es-ES_tradnl"/>
        </w:rPr>
      </w:pPr>
      <w:r>
        <w:rPr>
          <w:rFonts w:ascii="Arial" w:hAnsi="Arial" w:cs="Arial"/>
          <w:b/>
          <w:bCs/>
          <w:sz w:val="22"/>
          <w:szCs w:val="22"/>
          <w:u w:val="single"/>
          <w:lang w:val="es-ES_tradnl"/>
        </w:rPr>
        <w:t>Tribunal Fiscal de Apelación de la Provincia de Buenos Aires</w:t>
      </w:r>
    </w:p>
    <w:p w14:paraId="432417C3" w14:textId="1DE0BAAE" w:rsidR="00614DE7" w:rsidRDefault="002C4871" w:rsidP="00A04E0D">
      <w:pPr>
        <w:pStyle w:val="Prrafodelista"/>
        <w:numPr>
          <w:ilvl w:val="0"/>
          <w:numId w:val="3"/>
        </w:numPr>
        <w:snapToGrid w:val="0"/>
        <w:spacing w:after="240" w:line="360" w:lineRule="auto"/>
        <w:ind w:left="357"/>
        <w:contextualSpacing w:val="0"/>
        <w:jc w:val="both"/>
        <w:rPr>
          <w:rFonts w:ascii="Arial" w:hAnsi="Arial" w:cs="Arial"/>
          <w:sz w:val="20"/>
          <w:szCs w:val="20"/>
          <w:lang w:val="es-ES_tradnl"/>
        </w:rPr>
      </w:pPr>
      <w:r w:rsidRPr="00614DE7">
        <w:rPr>
          <w:rFonts w:ascii="Arial" w:hAnsi="Arial" w:cs="Arial"/>
          <w:b/>
          <w:bCs/>
          <w:sz w:val="20"/>
          <w:szCs w:val="20"/>
          <w:lang w:val="es-ES_tradnl"/>
        </w:rPr>
        <w:t>Agente de Recaudación. Régimen General de Retención del Impuesto sobre los Ingresos Brutos</w:t>
      </w:r>
      <w:r w:rsidR="00D709CE">
        <w:rPr>
          <w:rFonts w:ascii="Arial" w:hAnsi="Arial" w:cs="Arial"/>
          <w:b/>
          <w:bCs/>
          <w:sz w:val="20"/>
          <w:szCs w:val="20"/>
          <w:lang w:val="es-ES_tradnl"/>
        </w:rPr>
        <w:t xml:space="preserve"> (2009)</w:t>
      </w:r>
      <w:r w:rsidR="00D61ABD" w:rsidRPr="00614DE7">
        <w:rPr>
          <w:rFonts w:ascii="Arial" w:hAnsi="Arial" w:cs="Arial"/>
          <w:b/>
          <w:bCs/>
          <w:sz w:val="20"/>
          <w:szCs w:val="20"/>
          <w:lang w:val="es-ES_tradnl"/>
        </w:rPr>
        <w:t xml:space="preserve">. </w:t>
      </w:r>
      <w:r w:rsidRPr="00614DE7">
        <w:rPr>
          <w:rFonts w:ascii="Arial" w:hAnsi="Arial" w:cs="Arial"/>
          <w:sz w:val="20"/>
          <w:szCs w:val="20"/>
          <w:lang w:val="es-ES_tradnl"/>
        </w:rPr>
        <w:t xml:space="preserve">Se descarta la nulidad planteada por el contribuyente relativa a </w:t>
      </w:r>
      <w:r w:rsidR="006C627A" w:rsidRPr="00614DE7">
        <w:rPr>
          <w:rFonts w:ascii="Arial" w:hAnsi="Arial" w:cs="Arial"/>
          <w:sz w:val="20"/>
          <w:szCs w:val="20"/>
          <w:lang w:val="es-ES_tradnl"/>
        </w:rPr>
        <w:t>la ausencia de los contribuyentes directos en el procedimiento determinativo y sumaria</w:t>
      </w:r>
      <w:r w:rsidR="00614DE7" w:rsidRPr="00614DE7">
        <w:rPr>
          <w:rFonts w:ascii="Arial" w:hAnsi="Arial" w:cs="Arial"/>
          <w:sz w:val="20"/>
          <w:szCs w:val="20"/>
          <w:lang w:val="es-ES_tradnl"/>
        </w:rPr>
        <w:t>l</w:t>
      </w:r>
      <w:r w:rsidR="006C627A" w:rsidRPr="00614DE7">
        <w:rPr>
          <w:rFonts w:ascii="Arial" w:hAnsi="Arial" w:cs="Arial"/>
          <w:sz w:val="20"/>
          <w:szCs w:val="20"/>
          <w:lang w:val="es-ES_tradnl"/>
        </w:rPr>
        <w:t>, dado</w:t>
      </w:r>
      <w:r w:rsidR="00C24F0C" w:rsidRPr="00614DE7">
        <w:rPr>
          <w:rFonts w:ascii="Arial" w:hAnsi="Arial" w:cs="Arial"/>
          <w:sz w:val="20"/>
          <w:szCs w:val="20"/>
          <w:lang w:val="es-ES_tradnl"/>
        </w:rPr>
        <w:t xml:space="preserve"> que, </w:t>
      </w:r>
      <w:r w:rsidR="006C627A" w:rsidRPr="00614DE7">
        <w:rPr>
          <w:rFonts w:ascii="Arial" w:hAnsi="Arial" w:cs="Arial"/>
          <w:sz w:val="20"/>
          <w:szCs w:val="20"/>
          <w:lang w:val="es-ES_tradnl"/>
        </w:rPr>
        <w:t>según el vocal instructor</w:t>
      </w:r>
      <w:r w:rsidR="00C24F0C" w:rsidRPr="00614DE7">
        <w:rPr>
          <w:rFonts w:ascii="Arial" w:hAnsi="Arial" w:cs="Arial"/>
          <w:sz w:val="20"/>
          <w:szCs w:val="20"/>
          <w:lang w:val="es-ES_tradnl"/>
        </w:rPr>
        <w:t>,</w:t>
      </w:r>
      <w:r w:rsidR="006C627A" w:rsidRPr="00614DE7">
        <w:rPr>
          <w:rFonts w:ascii="Arial" w:hAnsi="Arial" w:cs="Arial"/>
          <w:sz w:val="20"/>
          <w:szCs w:val="20"/>
          <w:lang w:val="es-ES_tradnl"/>
        </w:rPr>
        <w:t xml:space="preserve"> </w:t>
      </w:r>
      <w:r w:rsidR="006C627A" w:rsidRPr="00614DE7">
        <w:rPr>
          <w:rFonts w:ascii="Arial" w:hAnsi="Arial" w:cs="Arial"/>
          <w:b/>
          <w:bCs/>
          <w:sz w:val="20"/>
          <w:szCs w:val="20"/>
          <w:lang w:val="es-ES_tradnl"/>
        </w:rPr>
        <w:t>la obligación del agente es a título propio por deuda ajena, por lo cual</w:t>
      </w:r>
      <w:r w:rsidR="00610BFA" w:rsidRPr="00614DE7">
        <w:rPr>
          <w:rFonts w:ascii="Arial" w:hAnsi="Arial" w:cs="Arial"/>
          <w:b/>
          <w:bCs/>
          <w:sz w:val="20"/>
          <w:szCs w:val="20"/>
          <w:lang w:val="es-ES_tradnl"/>
        </w:rPr>
        <w:t>,</w:t>
      </w:r>
      <w:r w:rsidR="006C627A" w:rsidRPr="00614DE7">
        <w:rPr>
          <w:rFonts w:ascii="Arial" w:hAnsi="Arial" w:cs="Arial"/>
          <w:b/>
          <w:bCs/>
          <w:sz w:val="20"/>
          <w:szCs w:val="20"/>
          <w:lang w:val="es-ES_tradnl"/>
        </w:rPr>
        <w:t xml:space="preserve"> es autónoma del sujeto de derecho del tributo</w:t>
      </w:r>
      <w:r w:rsidR="00F649FB" w:rsidRPr="00614DE7">
        <w:rPr>
          <w:rFonts w:ascii="Arial" w:hAnsi="Arial" w:cs="Arial"/>
          <w:sz w:val="20"/>
          <w:szCs w:val="20"/>
          <w:lang w:val="es-ES_tradnl"/>
        </w:rPr>
        <w:t xml:space="preserve"> (la determinación sólo tiene por objeto el cumplimiento de la obligación autónoma del agente). </w:t>
      </w:r>
      <w:r w:rsidR="00610BFA" w:rsidRPr="00614DE7">
        <w:rPr>
          <w:rFonts w:ascii="Arial" w:hAnsi="Arial" w:cs="Arial"/>
          <w:sz w:val="20"/>
          <w:szCs w:val="20"/>
          <w:lang w:val="es-ES_tradnl"/>
        </w:rPr>
        <w:t>A su vez, s</w:t>
      </w:r>
      <w:r w:rsidR="00F649FB" w:rsidRPr="00614DE7">
        <w:rPr>
          <w:rFonts w:ascii="Arial" w:hAnsi="Arial" w:cs="Arial"/>
          <w:sz w:val="20"/>
          <w:szCs w:val="20"/>
          <w:lang w:val="es-ES_tradnl"/>
        </w:rPr>
        <w:t xml:space="preserve">e rechaza la aplicación de la doctrina </w:t>
      </w:r>
      <w:r w:rsidR="00F649FB" w:rsidRPr="00614DE7">
        <w:rPr>
          <w:rFonts w:ascii="Arial" w:hAnsi="Arial" w:cs="Arial"/>
          <w:i/>
          <w:iCs/>
          <w:sz w:val="20"/>
          <w:szCs w:val="20"/>
          <w:lang w:val="es-ES_tradnl"/>
        </w:rPr>
        <w:t>“</w:t>
      </w:r>
      <w:proofErr w:type="spellStart"/>
      <w:r w:rsidR="00F649FB" w:rsidRPr="00614DE7">
        <w:rPr>
          <w:rFonts w:ascii="Arial" w:hAnsi="Arial" w:cs="Arial"/>
          <w:i/>
          <w:iCs/>
          <w:sz w:val="20"/>
          <w:szCs w:val="20"/>
          <w:lang w:val="es-ES_tradnl"/>
        </w:rPr>
        <w:t>Filcrosa</w:t>
      </w:r>
      <w:proofErr w:type="spellEnd"/>
      <w:r w:rsidR="00F649FB" w:rsidRPr="00614DE7">
        <w:rPr>
          <w:rFonts w:ascii="Arial" w:hAnsi="Arial" w:cs="Arial"/>
          <w:i/>
          <w:iCs/>
          <w:sz w:val="20"/>
          <w:szCs w:val="20"/>
          <w:lang w:val="es-ES_tradnl"/>
        </w:rPr>
        <w:t>”</w:t>
      </w:r>
      <w:r w:rsidR="00F649FB" w:rsidRPr="00614DE7">
        <w:rPr>
          <w:rFonts w:ascii="Arial" w:hAnsi="Arial" w:cs="Arial"/>
          <w:sz w:val="20"/>
          <w:szCs w:val="20"/>
          <w:lang w:val="es-ES_tradnl"/>
        </w:rPr>
        <w:t xml:space="preserve"> en materia de agentes o, en su defecto, se entiende por decenal, bajo el Código Civil</w:t>
      </w:r>
      <w:r w:rsidR="00E63CD4" w:rsidRPr="00614DE7">
        <w:rPr>
          <w:rFonts w:ascii="Arial" w:hAnsi="Arial" w:cs="Arial"/>
          <w:sz w:val="20"/>
          <w:szCs w:val="20"/>
          <w:lang w:val="es-ES_tradnl"/>
        </w:rPr>
        <w:t xml:space="preserve">. Se ratifica, en materia de agente de retención, la aplicación </w:t>
      </w:r>
      <w:r w:rsidR="00610BFA" w:rsidRPr="00614DE7">
        <w:rPr>
          <w:rFonts w:ascii="Arial" w:hAnsi="Arial" w:cs="Arial"/>
          <w:sz w:val="20"/>
          <w:szCs w:val="20"/>
          <w:lang w:val="es-ES_tradnl"/>
        </w:rPr>
        <w:t xml:space="preserve">(morigerada) </w:t>
      </w:r>
      <w:r w:rsidR="00E63CD4" w:rsidRPr="00614DE7">
        <w:rPr>
          <w:rFonts w:ascii="Arial" w:hAnsi="Arial" w:cs="Arial"/>
          <w:sz w:val="20"/>
          <w:szCs w:val="20"/>
          <w:lang w:val="es-ES_tradnl"/>
        </w:rPr>
        <w:t xml:space="preserve">del </w:t>
      </w:r>
      <w:r w:rsidR="00E63CD4" w:rsidRPr="00614DE7">
        <w:rPr>
          <w:rFonts w:ascii="Arial" w:hAnsi="Arial" w:cs="Arial"/>
          <w:b/>
          <w:bCs/>
          <w:sz w:val="20"/>
          <w:szCs w:val="20"/>
          <w:lang w:val="es-ES_tradnl"/>
        </w:rPr>
        <w:t>Informe Técnico 208/200</w:t>
      </w:r>
      <w:r w:rsidR="00B8244B" w:rsidRPr="00614DE7">
        <w:rPr>
          <w:rFonts w:ascii="Arial" w:hAnsi="Arial" w:cs="Arial"/>
          <w:b/>
          <w:bCs/>
          <w:sz w:val="20"/>
          <w:szCs w:val="20"/>
          <w:lang w:val="es-ES_tradnl"/>
        </w:rPr>
        <w:t>6</w:t>
      </w:r>
      <w:r w:rsidR="00610BFA" w:rsidRPr="00614DE7">
        <w:rPr>
          <w:rFonts w:ascii="Arial" w:hAnsi="Arial" w:cs="Arial"/>
          <w:sz w:val="20"/>
          <w:szCs w:val="20"/>
          <w:lang w:val="es-ES_tradnl"/>
        </w:rPr>
        <w:t xml:space="preserve">, </w:t>
      </w:r>
      <w:r w:rsidR="00062FB8" w:rsidRPr="00614DE7">
        <w:rPr>
          <w:rFonts w:ascii="Arial" w:hAnsi="Arial" w:cs="Arial"/>
          <w:sz w:val="20"/>
          <w:szCs w:val="20"/>
          <w:lang w:val="es-ES_tradnl"/>
        </w:rPr>
        <w:t>más allá de no exigirse la certificación contable</w:t>
      </w:r>
      <w:r w:rsidR="00610BFA" w:rsidRPr="00614DE7">
        <w:rPr>
          <w:rFonts w:ascii="Arial" w:hAnsi="Arial" w:cs="Arial"/>
          <w:sz w:val="20"/>
          <w:szCs w:val="20"/>
          <w:lang w:val="es-ES_tradnl"/>
        </w:rPr>
        <w:t xml:space="preserve"> (pero sí copia de los libros IVA</w:t>
      </w:r>
      <w:r w:rsidR="00062FB8" w:rsidRPr="00614DE7">
        <w:rPr>
          <w:rFonts w:ascii="Arial" w:hAnsi="Arial" w:cs="Arial"/>
          <w:sz w:val="20"/>
          <w:szCs w:val="20"/>
          <w:lang w:val="es-ES_tradnl"/>
        </w:rPr>
        <w:t>)</w:t>
      </w:r>
      <w:r w:rsidR="00B8244B" w:rsidRPr="00614DE7">
        <w:rPr>
          <w:rFonts w:ascii="Arial" w:hAnsi="Arial" w:cs="Arial"/>
          <w:sz w:val="20"/>
          <w:szCs w:val="20"/>
          <w:lang w:val="es-ES_tradnl"/>
        </w:rPr>
        <w:t>, toda vez que</w:t>
      </w:r>
      <w:r w:rsidR="00610BFA" w:rsidRPr="00614DE7">
        <w:rPr>
          <w:rFonts w:ascii="Arial" w:hAnsi="Arial" w:cs="Arial"/>
          <w:sz w:val="20"/>
          <w:szCs w:val="20"/>
          <w:lang w:val="es-ES_tradnl"/>
        </w:rPr>
        <w:t xml:space="preserve">, según el TFAPBA, </w:t>
      </w:r>
      <w:r w:rsidR="00B8244B" w:rsidRPr="00614DE7">
        <w:rPr>
          <w:rFonts w:ascii="Arial" w:hAnsi="Arial" w:cs="Arial"/>
          <w:sz w:val="20"/>
          <w:szCs w:val="20"/>
          <w:lang w:val="es-ES_tradnl"/>
        </w:rPr>
        <w:t>en este caso</w:t>
      </w:r>
      <w:r w:rsidR="00610BFA" w:rsidRPr="00614DE7">
        <w:rPr>
          <w:rFonts w:ascii="Arial" w:hAnsi="Arial" w:cs="Arial"/>
          <w:sz w:val="20"/>
          <w:szCs w:val="20"/>
          <w:lang w:val="es-ES_tradnl"/>
        </w:rPr>
        <w:t xml:space="preserve">, </w:t>
      </w:r>
      <w:r w:rsidR="00B8244B" w:rsidRPr="00614DE7">
        <w:rPr>
          <w:rFonts w:ascii="Arial" w:hAnsi="Arial" w:cs="Arial"/>
          <w:sz w:val="20"/>
          <w:szCs w:val="20"/>
          <w:lang w:val="es-ES_tradnl"/>
        </w:rPr>
        <w:t>a diferencia de los agentes de percepción</w:t>
      </w:r>
      <w:r w:rsidR="00610BFA" w:rsidRPr="00614DE7">
        <w:rPr>
          <w:rFonts w:ascii="Arial" w:hAnsi="Arial" w:cs="Arial"/>
          <w:sz w:val="20"/>
          <w:szCs w:val="20"/>
          <w:lang w:val="es-ES_tradnl"/>
        </w:rPr>
        <w:t>,</w:t>
      </w:r>
      <w:r w:rsidR="00B8244B" w:rsidRPr="00614DE7">
        <w:rPr>
          <w:rFonts w:ascii="Arial" w:hAnsi="Arial" w:cs="Arial"/>
          <w:sz w:val="20"/>
          <w:szCs w:val="20"/>
          <w:lang w:val="es-ES_tradnl"/>
        </w:rPr>
        <w:t xml:space="preserve"> se considera posible realizar un seguimiento de la venta o prestación efectuada por el agente. </w:t>
      </w:r>
      <w:r w:rsidR="00610BFA" w:rsidRPr="00614DE7">
        <w:rPr>
          <w:rFonts w:ascii="Arial" w:hAnsi="Arial" w:cs="Arial"/>
          <w:b/>
          <w:bCs/>
          <w:sz w:val="20"/>
          <w:szCs w:val="20"/>
          <w:lang w:val="es-ES_tradnl"/>
        </w:rPr>
        <w:t>Se concluye que</w:t>
      </w:r>
      <w:r w:rsidR="00610BFA" w:rsidRPr="00614DE7">
        <w:rPr>
          <w:rFonts w:ascii="Arial" w:hAnsi="Arial" w:cs="Arial"/>
          <w:sz w:val="20"/>
          <w:szCs w:val="20"/>
          <w:lang w:val="es-ES_tradnl"/>
        </w:rPr>
        <w:t xml:space="preserve"> </w:t>
      </w:r>
      <w:r w:rsidR="00B8244B" w:rsidRPr="00614DE7">
        <w:rPr>
          <w:rFonts w:ascii="Arial" w:hAnsi="Arial" w:cs="Arial"/>
          <w:b/>
          <w:bCs/>
          <w:sz w:val="20"/>
          <w:szCs w:val="20"/>
          <w:lang w:val="es-ES_tradnl"/>
        </w:rPr>
        <w:t>no sólo se debe probar la presentación y pago de la DDJJ por parte del proveedor, si no la correcta facturación y la registración de las operaciones involucradas</w:t>
      </w:r>
      <w:r w:rsidR="00610BFA" w:rsidRPr="00614DE7">
        <w:rPr>
          <w:rFonts w:ascii="Arial" w:hAnsi="Arial" w:cs="Arial"/>
          <w:sz w:val="20"/>
          <w:szCs w:val="20"/>
          <w:lang w:val="es-ES_tradnl"/>
        </w:rPr>
        <w:t>.</w:t>
      </w:r>
      <w:r w:rsidR="00F359F3" w:rsidRPr="00614DE7">
        <w:rPr>
          <w:rFonts w:ascii="Arial" w:hAnsi="Arial" w:cs="Arial"/>
          <w:sz w:val="20"/>
          <w:szCs w:val="20"/>
          <w:lang w:val="es-ES_tradnl"/>
        </w:rPr>
        <w:t xml:space="preserve"> No se hace lugar al planteo de prescripción de los recargos. </w:t>
      </w:r>
      <w:r w:rsidR="00614DE7" w:rsidRPr="00614DE7">
        <w:rPr>
          <w:rFonts w:ascii="Arial" w:hAnsi="Arial" w:cs="Arial"/>
          <w:sz w:val="20"/>
          <w:szCs w:val="20"/>
          <w:lang w:val="es-ES_tradnl"/>
        </w:rPr>
        <w:t xml:space="preserve">Se hace lugar parcialmente al recurso y se ordena a ARBA el recálculo del ajuste y, en consecuencia, de los recargos y multa. </w:t>
      </w:r>
      <w:r w:rsidR="00614DE7" w:rsidRPr="00614DE7">
        <w:rPr>
          <w:rFonts w:ascii="Arial" w:hAnsi="Arial" w:cs="Arial"/>
          <w:b/>
          <w:bCs/>
          <w:i/>
          <w:iCs/>
          <w:sz w:val="20"/>
          <w:szCs w:val="20"/>
          <w:lang w:val="es-ES_tradnl"/>
        </w:rPr>
        <w:t>“La Plata Cerámicos S.A. (29/04/2022)”</w:t>
      </w:r>
      <w:r w:rsidR="00614DE7" w:rsidRPr="00614DE7">
        <w:rPr>
          <w:rFonts w:ascii="Arial" w:hAnsi="Arial" w:cs="Arial"/>
          <w:sz w:val="20"/>
          <w:szCs w:val="20"/>
          <w:lang w:val="es-ES_tradnl"/>
        </w:rPr>
        <w:t>.</w:t>
      </w:r>
    </w:p>
    <w:p w14:paraId="02F04781" w14:textId="12DB3017" w:rsidR="00EF6D7F" w:rsidRPr="0076305F" w:rsidRDefault="00EF6D7F" w:rsidP="00A04E0D">
      <w:pPr>
        <w:pStyle w:val="Prrafodelista"/>
        <w:numPr>
          <w:ilvl w:val="0"/>
          <w:numId w:val="3"/>
        </w:numPr>
        <w:snapToGrid w:val="0"/>
        <w:spacing w:after="240" w:line="360" w:lineRule="auto"/>
        <w:ind w:left="357"/>
        <w:contextualSpacing w:val="0"/>
        <w:jc w:val="both"/>
        <w:rPr>
          <w:rFonts w:ascii="Arial" w:hAnsi="Arial" w:cs="Arial"/>
          <w:b/>
          <w:bCs/>
          <w:i/>
          <w:iCs/>
          <w:sz w:val="20"/>
          <w:szCs w:val="20"/>
          <w:lang w:val="es-ES_tradnl"/>
        </w:rPr>
      </w:pPr>
      <w:r w:rsidRPr="00614DE7">
        <w:rPr>
          <w:rFonts w:ascii="Arial" w:hAnsi="Arial" w:cs="Arial"/>
          <w:b/>
          <w:bCs/>
          <w:sz w:val="20"/>
          <w:szCs w:val="20"/>
          <w:lang w:val="es-ES_tradnl"/>
        </w:rPr>
        <w:t>Agente de Recaudación. Régimen General de Retención del Impuesto sobre los Ingresos Brutos</w:t>
      </w:r>
      <w:r>
        <w:rPr>
          <w:rFonts w:ascii="Arial" w:hAnsi="Arial" w:cs="Arial"/>
          <w:b/>
          <w:bCs/>
          <w:sz w:val="20"/>
          <w:szCs w:val="20"/>
          <w:lang w:val="es-ES_tradnl"/>
        </w:rPr>
        <w:t xml:space="preserve"> (20</w:t>
      </w:r>
      <w:r w:rsidR="005B1382">
        <w:rPr>
          <w:rFonts w:ascii="Arial" w:hAnsi="Arial" w:cs="Arial"/>
          <w:b/>
          <w:bCs/>
          <w:sz w:val="20"/>
          <w:szCs w:val="20"/>
          <w:lang w:val="es-ES_tradnl"/>
        </w:rPr>
        <w:t>09</w:t>
      </w:r>
      <w:r>
        <w:rPr>
          <w:rFonts w:ascii="Arial" w:hAnsi="Arial" w:cs="Arial"/>
          <w:b/>
          <w:bCs/>
          <w:sz w:val="20"/>
          <w:szCs w:val="20"/>
          <w:lang w:val="es-ES_tradnl"/>
        </w:rPr>
        <w:t>)</w:t>
      </w:r>
      <w:r w:rsidRPr="00614DE7">
        <w:rPr>
          <w:rFonts w:ascii="Arial" w:hAnsi="Arial" w:cs="Arial"/>
          <w:b/>
          <w:bCs/>
          <w:sz w:val="20"/>
          <w:szCs w:val="20"/>
          <w:lang w:val="es-ES_tradnl"/>
        </w:rPr>
        <w:t>.</w:t>
      </w:r>
      <w:r>
        <w:rPr>
          <w:rFonts w:ascii="Arial" w:hAnsi="Arial" w:cs="Arial"/>
          <w:b/>
          <w:bCs/>
          <w:sz w:val="20"/>
          <w:szCs w:val="20"/>
          <w:lang w:val="es-ES_tradnl"/>
        </w:rPr>
        <w:t xml:space="preserve"> </w:t>
      </w:r>
      <w:r w:rsidR="005B1382">
        <w:rPr>
          <w:rFonts w:ascii="Arial" w:hAnsi="Arial" w:cs="Arial"/>
          <w:sz w:val="20"/>
          <w:szCs w:val="20"/>
          <w:lang w:val="es-ES_tradnl"/>
        </w:rPr>
        <w:t xml:space="preserve">Se ratifica la aplicación del Informe Técnico 208/2006. Se reitera que es carga </w:t>
      </w:r>
      <w:r w:rsidR="005B1382">
        <w:rPr>
          <w:rFonts w:ascii="Arial" w:hAnsi="Arial" w:cs="Arial"/>
          <w:sz w:val="20"/>
          <w:szCs w:val="20"/>
          <w:lang w:val="es-ES_tradnl"/>
        </w:rPr>
        <w:lastRenderedPageBreak/>
        <w:t xml:space="preserve">principal del propio agente de retención demostrar el pago del tributo del principal, la presentación de las declaraciones juradas, </w:t>
      </w:r>
      <w:r w:rsidR="00B87A38">
        <w:rPr>
          <w:rFonts w:ascii="Arial" w:hAnsi="Arial" w:cs="Arial"/>
          <w:sz w:val="20"/>
          <w:szCs w:val="20"/>
          <w:lang w:val="es-ES_tradnl"/>
        </w:rPr>
        <w:t xml:space="preserve">así como la facturación y registro de las operaciones involucradas y </w:t>
      </w:r>
      <w:r w:rsidR="00B87A38" w:rsidRPr="00B87A38">
        <w:rPr>
          <w:rFonts w:ascii="Arial" w:hAnsi="Arial" w:cs="Arial"/>
          <w:b/>
          <w:bCs/>
          <w:sz w:val="20"/>
          <w:szCs w:val="20"/>
          <w:lang w:val="es-ES_tradnl"/>
        </w:rPr>
        <w:t>deviene improcedente la pretendida aplicación de la teoría de las cargas dinámicas de las pruebas</w:t>
      </w:r>
      <w:r w:rsidR="00B87A38">
        <w:rPr>
          <w:rFonts w:ascii="Arial" w:hAnsi="Arial" w:cs="Arial"/>
          <w:sz w:val="20"/>
          <w:szCs w:val="20"/>
          <w:lang w:val="es-ES_tradnl"/>
        </w:rPr>
        <w:t>. Se hace lugar parcialmente al recurso y se ordena a ARBA una nueva liquidación.</w:t>
      </w:r>
      <w:r w:rsidR="0076305F">
        <w:rPr>
          <w:rFonts w:ascii="Arial" w:hAnsi="Arial" w:cs="Arial"/>
          <w:sz w:val="20"/>
          <w:szCs w:val="20"/>
          <w:lang w:val="es-ES_tradnl"/>
        </w:rPr>
        <w:t xml:space="preserve"> </w:t>
      </w:r>
      <w:r w:rsidR="0076305F" w:rsidRPr="0076305F">
        <w:rPr>
          <w:rFonts w:ascii="Arial" w:hAnsi="Arial" w:cs="Arial"/>
          <w:b/>
          <w:bCs/>
          <w:i/>
          <w:iCs/>
          <w:sz w:val="20"/>
          <w:szCs w:val="20"/>
          <w:lang w:val="es-ES_tradnl"/>
        </w:rPr>
        <w:t>“Alvarez Neumáticos S.A. (29/04/2022)”</w:t>
      </w:r>
      <w:r w:rsidR="0076305F">
        <w:rPr>
          <w:rFonts w:ascii="Arial" w:hAnsi="Arial" w:cs="Arial"/>
          <w:b/>
          <w:bCs/>
          <w:i/>
          <w:iCs/>
          <w:sz w:val="20"/>
          <w:szCs w:val="20"/>
          <w:lang w:val="es-ES_tradnl"/>
        </w:rPr>
        <w:t>.</w:t>
      </w:r>
    </w:p>
    <w:p w14:paraId="7A0FAA13" w14:textId="77777777" w:rsidR="009D773B" w:rsidRDefault="009E2F1E" w:rsidP="00A04E0D">
      <w:pPr>
        <w:pStyle w:val="Prrafodelista"/>
        <w:numPr>
          <w:ilvl w:val="0"/>
          <w:numId w:val="3"/>
        </w:numPr>
        <w:snapToGrid w:val="0"/>
        <w:spacing w:after="240" w:line="360" w:lineRule="auto"/>
        <w:ind w:left="357"/>
        <w:contextualSpacing w:val="0"/>
        <w:jc w:val="both"/>
        <w:rPr>
          <w:rFonts w:ascii="Arial" w:hAnsi="Arial" w:cs="Arial"/>
          <w:sz w:val="20"/>
          <w:szCs w:val="20"/>
          <w:lang w:val="es-ES_tradnl"/>
        </w:rPr>
      </w:pPr>
      <w:r w:rsidRPr="00614DE7">
        <w:rPr>
          <w:rFonts w:ascii="Arial" w:hAnsi="Arial" w:cs="Arial"/>
          <w:b/>
          <w:bCs/>
          <w:sz w:val="20"/>
          <w:szCs w:val="20"/>
          <w:lang w:val="es-ES_tradnl"/>
        </w:rPr>
        <w:t xml:space="preserve">Agente de Recaudación. Régimen General de </w:t>
      </w:r>
      <w:r>
        <w:rPr>
          <w:rFonts w:ascii="Arial" w:hAnsi="Arial" w:cs="Arial"/>
          <w:b/>
          <w:bCs/>
          <w:sz w:val="20"/>
          <w:szCs w:val="20"/>
          <w:lang w:val="es-ES_tradnl"/>
        </w:rPr>
        <w:t>Percepción</w:t>
      </w:r>
      <w:r w:rsidRPr="00614DE7">
        <w:rPr>
          <w:rFonts w:ascii="Arial" w:hAnsi="Arial" w:cs="Arial"/>
          <w:b/>
          <w:bCs/>
          <w:sz w:val="20"/>
          <w:szCs w:val="20"/>
          <w:lang w:val="es-ES_tradnl"/>
        </w:rPr>
        <w:t xml:space="preserve"> del Impuesto sobre los Ingresos Brutos</w:t>
      </w:r>
      <w:r w:rsidR="00D709CE">
        <w:rPr>
          <w:rFonts w:ascii="Arial" w:hAnsi="Arial" w:cs="Arial"/>
          <w:b/>
          <w:bCs/>
          <w:sz w:val="20"/>
          <w:szCs w:val="20"/>
          <w:lang w:val="es-ES_tradnl"/>
        </w:rPr>
        <w:t xml:space="preserve"> (20</w:t>
      </w:r>
      <w:r w:rsidR="009D773B">
        <w:rPr>
          <w:rFonts w:ascii="Arial" w:hAnsi="Arial" w:cs="Arial"/>
          <w:b/>
          <w:bCs/>
          <w:sz w:val="20"/>
          <w:szCs w:val="20"/>
          <w:lang w:val="es-ES_tradnl"/>
        </w:rPr>
        <w:t>09</w:t>
      </w:r>
      <w:r w:rsidR="00D709CE">
        <w:rPr>
          <w:rFonts w:ascii="Arial" w:hAnsi="Arial" w:cs="Arial"/>
          <w:b/>
          <w:bCs/>
          <w:sz w:val="20"/>
          <w:szCs w:val="20"/>
          <w:lang w:val="es-ES_tradnl"/>
        </w:rPr>
        <w:t>)</w:t>
      </w:r>
      <w:r w:rsidRPr="00614DE7">
        <w:rPr>
          <w:rFonts w:ascii="Arial" w:hAnsi="Arial" w:cs="Arial"/>
          <w:b/>
          <w:bCs/>
          <w:sz w:val="20"/>
          <w:szCs w:val="20"/>
          <w:lang w:val="es-ES_tradnl"/>
        </w:rPr>
        <w:t>.</w:t>
      </w:r>
      <w:r w:rsidR="00D709CE">
        <w:rPr>
          <w:rFonts w:ascii="Arial" w:hAnsi="Arial" w:cs="Arial"/>
          <w:b/>
          <w:bCs/>
          <w:sz w:val="20"/>
          <w:szCs w:val="20"/>
          <w:lang w:val="es-ES_tradnl"/>
        </w:rPr>
        <w:t xml:space="preserve"> </w:t>
      </w:r>
      <w:r w:rsidR="00D709CE">
        <w:rPr>
          <w:rFonts w:ascii="Arial" w:hAnsi="Arial" w:cs="Arial"/>
          <w:sz w:val="20"/>
          <w:szCs w:val="20"/>
          <w:lang w:val="es-ES_tradnl"/>
        </w:rPr>
        <w:t>Se rechaza el planteo de prescripción, en cuanto al principal, pero sí se acepta (</w:t>
      </w:r>
      <w:r w:rsidR="00D709CE" w:rsidRPr="00D709CE">
        <w:rPr>
          <w:rFonts w:ascii="Arial" w:hAnsi="Arial" w:cs="Arial"/>
          <w:i/>
          <w:iCs/>
          <w:sz w:val="20"/>
          <w:szCs w:val="20"/>
          <w:lang w:val="es-ES_tradnl"/>
        </w:rPr>
        <w:t>“Sullair”</w:t>
      </w:r>
      <w:r w:rsidR="00D709CE">
        <w:rPr>
          <w:rFonts w:ascii="Arial" w:hAnsi="Arial" w:cs="Arial"/>
          <w:sz w:val="20"/>
          <w:szCs w:val="20"/>
          <w:lang w:val="es-ES_tradnl"/>
        </w:rPr>
        <w:t xml:space="preserve">), </w:t>
      </w:r>
      <w:r w:rsidR="00C030BF">
        <w:rPr>
          <w:rFonts w:ascii="Arial" w:hAnsi="Arial" w:cs="Arial"/>
          <w:sz w:val="20"/>
          <w:szCs w:val="20"/>
          <w:lang w:val="es-ES_tradnl"/>
        </w:rPr>
        <w:t>en materia de aplicación de multa por omisión. Se reitera la disquisición entre agentes de retención (deudor del contribuyente – se queda con el monto del impuesto que le correspondería pagar al sujeto de derecho como impuesto propio) y percepción (acreedor del contribuyente – no hay una relación directa entre su actuación como agente y el perfeccionamiento del hecho imponible)</w:t>
      </w:r>
      <w:r w:rsidR="007710FD">
        <w:rPr>
          <w:rFonts w:ascii="Arial" w:hAnsi="Arial" w:cs="Arial"/>
          <w:sz w:val="20"/>
          <w:szCs w:val="20"/>
          <w:lang w:val="es-ES_tradnl"/>
        </w:rPr>
        <w:t xml:space="preserve">, a partir de lo cual, se vuelve a plantear que, en este último caso, basta con probar que el cliente del agente presentó y pago la DDJJ, para que se extinga la solidaridad. Aplicación de la teoría de las cargas dinámicas de la prueba. </w:t>
      </w:r>
      <w:r w:rsidR="00EF6D7F">
        <w:rPr>
          <w:rFonts w:ascii="Arial" w:hAnsi="Arial" w:cs="Arial"/>
          <w:sz w:val="20"/>
          <w:szCs w:val="20"/>
          <w:lang w:val="es-ES_tradnl"/>
        </w:rPr>
        <w:t>Por mayoría, s</w:t>
      </w:r>
      <w:r w:rsidR="00091387">
        <w:rPr>
          <w:rFonts w:ascii="Arial" w:hAnsi="Arial" w:cs="Arial"/>
          <w:sz w:val="20"/>
          <w:szCs w:val="20"/>
          <w:lang w:val="es-ES_tradnl"/>
        </w:rPr>
        <w:t xml:space="preserve">e extiende la responsabilidad a los solidarios (no se aplica </w:t>
      </w:r>
      <w:r w:rsidR="00091387" w:rsidRPr="00091387">
        <w:rPr>
          <w:rFonts w:ascii="Arial" w:hAnsi="Arial" w:cs="Arial"/>
          <w:i/>
          <w:iCs/>
          <w:sz w:val="20"/>
          <w:szCs w:val="20"/>
          <w:lang w:val="es-ES_tradnl"/>
        </w:rPr>
        <w:t>“Toledo”</w:t>
      </w:r>
      <w:r w:rsidR="00091387">
        <w:rPr>
          <w:rFonts w:ascii="Arial" w:hAnsi="Arial" w:cs="Arial"/>
          <w:sz w:val="20"/>
          <w:szCs w:val="20"/>
          <w:lang w:val="es-ES_tradnl"/>
        </w:rPr>
        <w:t xml:space="preserve">). Finalmente se solicita la reliquidación del ajuste. </w:t>
      </w:r>
      <w:r w:rsidR="00091387" w:rsidRPr="00091387">
        <w:rPr>
          <w:rFonts w:ascii="Arial" w:hAnsi="Arial" w:cs="Arial"/>
          <w:b/>
          <w:bCs/>
          <w:i/>
          <w:iCs/>
          <w:sz w:val="20"/>
          <w:szCs w:val="20"/>
          <w:lang w:val="es-ES_tradnl"/>
        </w:rPr>
        <w:t>“Transportadora del Gas Del Sur S.A. (29/04/2022)</w:t>
      </w:r>
      <w:r w:rsidR="001559E4">
        <w:rPr>
          <w:rFonts w:ascii="Arial" w:hAnsi="Arial" w:cs="Arial"/>
          <w:b/>
          <w:bCs/>
          <w:i/>
          <w:iCs/>
          <w:sz w:val="20"/>
          <w:szCs w:val="20"/>
          <w:lang w:val="es-ES_tradnl"/>
        </w:rPr>
        <w:t>- Expediente N°2360-0366885</w:t>
      </w:r>
      <w:r w:rsidR="00091387" w:rsidRPr="00091387">
        <w:rPr>
          <w:rFonts w:ascii="Arial" w:hAnsi="Arial" w:cs="Arial"/>
          <w:b/>
          <w:bCs/>
          <w:i/>
          <w:iCs/>
          <w:sz w:val="20"/>
          <w:szCs w:val="20"/>
          <w:lang w:val="es-ES_tradnl"/>
        </w:rPr>
        <w:t>”</w:t>
      </w:r>
      <w:r w:rsidR="00091387">
        <w:rPr>
          <w:rFonts w:ascii="Arial" w:hAnsi="Arial" w:cs="Arial"/>
          <w:sz w:val="20"/>
          <w:szCs w:val="20"/>
          <w:lang w:val="es-ES_tradnl"/>
        </w:rPr>
        <w:t>.</w:t>
      </w:r>
    </w:p>
    <w:p w14:paraId="10BE957F" w14:textId="7FFA52ED" w:rsidR="009D773B" w:rsidRPr="00194CAB" w:rsidRDefault="009D773B" w:rsidP="00A04E0D">
      <w:pPr>
        <w:pStyle w:val="Prrafodelista"/>
        <w:numPr>
          <w:ilvl w:val="0"/>
          <w:numId w:val="3"/>
        </w:numPr>
        <w:snapToGrid w:val="0"/>
        <w:spacing w:after="240" w:line="360" w:lineRule="auto"/>
        <w:contextualSpacing w:val="0"/>
        <w:jc w:val="both"/>
        <w:rPr>
          <w:rFonts w:ascii="Arial" w:hAnsi="Arial" w:cs="Arial"/>
          <w:sz w:val="20"/>
          <w:szCs w:val="20"/>
        </w:rPr>
      </w:pPr>
      <w:r w:rsidRPr="00194CAB">
        <w:rPr>
          <w:rFonts w:ascii="Arial" w:hAnsi="Arial" w:cs="Arial"/>
          <w:b/>
          <w:bCs/>
          <w:sz w:val="20"/>
          <w:szCs w:val="20"/>
          <w:lang w:val="es-ES_tradnl"/>
        </w:rPr>
        <w:t>Impuesto sobre los Ingresos Brutos (2007 y 2008).</w:t>
      </w:r>
      <w:r w:rsidRPr="00194CAB">
        <w:rPr>
          <w:rFonts w:ascii="Arial" w:hAnsi="Arial" w:cs="Arial"/>
          <w:sz w:val="20"/>
          <w:szCs w:val="20"/>
          <w:lang w:val="es-ES_tradnl"/>
        </w:rPr>
        <w:t xml:space="preserve"> </w:t>
      </w:r>
      <w:r w:rsidRPr="00194CAB">
        <w:rPr>
          <w:rFonts w:ascii="Arial" w:hAnsi="Arial" w:cs="Arial"/>
          <w:b/>
          <w:bCs/>
          <w:sz w:val="20"/>
          <w:szCs w:val="20"/>
          <w:lang w:val="es-ES_tradnl"/>
        </w:rPr>
        <w:t xml:space="preserve">Impugnación de la </w:t>
      </w:r>
      <w:r w:rsidR="00194CAB">
        <w:rPr>
          <w:rFonts w:ascii="Arial" w:hAnsi="Arial" w:cs="Arial"/>
          <w:b/>
          <w:bCs/>
          <w:sz w:val="20"/>
          <w:szCs w:val="20"/>
          <w:lang w:val="es-ES_tradnl"/>
        </w:rPr>
        <w:t>D</w:t>
      </w:r>
      <w:r w:rsidRPr="00194CAB">
        <w:rPr>
          <w:rFonts w:ascii="Arial" w:hAnsi="Arial" w:cs="Arial"/>
          <w:b/>
          <w:bCs/>
          <w:sz w:val="20"/>
          <w:szCs w:val="20"/>
          <w:lang w:val="es-ES_tradnl"/>
        </w:rPr>
        <w:t xml:space="preserve">educción de </w:t>
      </w:r>
      <w:r w:rsidR="00194CAB">
        <w:rPr>
          <w:rFonts w:ascii="Arial" w:hAnsi="Arial" w:cs="Arial"/>
          <w:b/>
          <w:bCs/>
          <w:sz w:val="20"/>
          <w:szCs w:val="20"/>
          <w:lang w:val="es-ES_tradnl"/>
        </w:rPr>
        <w:t>N</w:t>
      </w:r>
      <w:r w:rsidRPr="00194CAB">
        <w:rPr>
          <w:rFonts w:ascii="Arial" w:hAnsi="Arial" w:cs="Arial"/>
          <w:b/>
          <w:bCs/>
          <w:sz w:val="20"/>
          <w:szCs w:val="20"/>
          <w:lang w:val="es-ES_tradnl"/>
        </w:rPr>
        <w:t xml:space="preserve">otas de </w:t>
      </w:r>
      <w:r w:rsidR="00194CAB">
        <w:rPr>
          <w:rFonts w:ascii="Arial" w:hAnsi="Arial" w:cs="Arial"/>
          <w:b/>
          <w:bCs/>
          <w:sz w:val="20"/>
          <w:szCs w:val="20"/>
          <w:lang w:val="es-ES_tradnl"/>
        </w:rPr>
        <w:t>C</w:t>
      </w:r>
      <w:r w:rsidRPr="00194CAB">
        <w:rPr>
          <w:rFonts w:ascii="Arial" w:hAnsi="Arial" w:cs="Arial"/>
          <w:b/>
          <w:bCs/>
          <w:sz w:val="20"/>
          <w:szCs w:val="20"/>
          <w:lang w:val="es-ES_tradnl"/>
        </w:rPr>
        <w:t xml:space="preserve">rédito de la </w:t>
      </w:r>
      <w:r w:rsidR="00194CAB">
        <w:rPr>
          <w:rFonts w:ascii="Arial" w:hAnsi="Arial" w:cs="Arial"/>
          <w:b/>
          <w:bCs/>
          <w:sz w:val="20"/>
          <w:szCs w:val="20"/>
          <w:lang w:val="es-ES_tradnl"/>
        </w:rPr>
        <w:t>B</w:t>
      </w:r>
      <w:r w:rsidRPr="00194CAB">
        <w:rPr>
          <w:rFonts w:ascii="Arial" w:hAnsi="Arial" w:cs="Arial"/>
          <w:b/>
          <w:bCs/>
          <w:sz w:val="20"/>
          <w:szCs w:val="20"/>
          <w:lang w:val="es-ES_tradnl"/>
        </w:rPr>
        <w:t xml:space="preserve">ase </w:t>
      </w:r>
      <w:r w:rsidR="00194CAB">
        <w:rPr>
          <w:rFonts w:ascii="Arial" w:hAnsi="Arial" w:cs="Arial"/>
          <w:b/>
          <w:bCs/>
          <w:sz w:val="20"/>
          <w:szCs w:val="20"/>
          <w:lang w:val="es-ES_tradnl"/>
        </w:rPr>
        <w:t>I</w:t>
      </w:r>
      <w:r w:rsidRPr="00194CAB">
        <w:rPr>
          <w:rFonts w:ascii="Arial" w:hAnsi="Arial" w:cs="Arial"/>
          <w:b/>
          <w:bCs/>
          <w:sz w:val="20"/>
          <w:szCs w:val="20"/>
          <w:lang w:val="es-ES_tradnl"/>
        </w:rPr>
        <w:t>mponible</w:t>
      </w:r>
      <w:r w:rsidRPr="00194CAB">
        <w:rPr>
          <w:rFonts w:ascii="Arial" w:hAnsi="Arial" w:cs="Arial"/>
          <w:sz w:val="20"/>
          <w:szCs w:val="20"/>
          <w:lang w:val="es-ES_tradnl"/>
        </w:rPr>
        <w:t xml:space="preserve">. </w:t>
      </w:r>
      <w:r w:rsidR="00DC7FCB" w:rsidRPr="00194CAB">
        <w:rPr>
          <w:rFonts w:ascii="Arial" w:hAnsi="Arial" w:cs="Arial"/>
          <w:color w:val="222A35" w:themeColor="text2" w:themeShade="80"/>
          <w:sz w:val="20"/>
          <w:szCs w:val="20"/>
        </w:rPr>
        <w:t>L</w:t>
      </w:r>
      <w:r w:rsidRPr="00194CAB">
        <w:rPr>
          <w:rFonts w:ascii="Arial" w:hAnsi="Arial" w:cs="Arial"/>
          <w:sz w:val="20"/>
          <w:szCs w:val="20"/>
        </w:rPr>
        <w:t xml:space="preserve">a fiscalización procedió a considerar como ingresos gravados los importes correspondientes a Notas de Crédito emitidas por combos, promociones, fletes y bonificaciones que no resultan </w:t>
      </w:r>
      <w:r w:rsidR="00DC7FCB" w:rsidRPr="00194CAB">
        <w:rPr>
          <w:rFonts w:ascii="Arial" w:hAnsi="Arial" w:cs="Arial"/>
          <w:sz w:val="20"/>
          <w:szCs w:val="20"/>
        </w:rPr>
        <w:t xml:space="preserve">(según la consideración del Fisco) </w:t>
      </w:r>
      <w:r w:rsidRPr="00194CAB">
        <w:rPr>
          <w:rFonts w:ascii="Arial" w:hAnsi="Arial" w:cs="Arial"/>
          <w:sz w:val="20"/>
          <w:szCs w:val="20"/>
        </w:rPr>
        <w:t>deducibles de la Base Imponible según lo establecido por el Código Fisc</w:t>
      </w:r>
      <w:r w:rsidR="00DC7FCB" w:rsidRPr="00194CAB">
        <w:rPr>
          <w:rFonts w:ascii="Arial" w:hAnsi="Arial" w:cs="Arial"/>
          <w:sz w:val="20"/>
          <w:szCs w:val="20"/>
        </w:rPr>
        <w:t xml:space="preserve">al. La prueba pericial contable (producida) se limitó a una </w:t>
      </w:r>
      <w:r w:rsidRPr="00194CAB">
        <w:rPr>
          <w:rFonts w:ascii="Arial" w:hAnsi="Arial" w:cs="Arial"/>
          <w:sz w:val="20"/>
          <w:szCs w:val="20"/>
        </w:rPr>
        <w:t xml:space="preserve">Certificación Contable de los montos mensuales declarados en el gravamen, así como de los importes globales de las notas de crédito y débito computadas, y de los ingresos mensuales según Libro IVA Ventas, sin dar respuesta a </w:t>
      </w:r>
      <w:r w:rsidR="00DC7FCB" w:rsidRPr="00194CAB">
        <w:rPr>
          <w:rFonts w:ascii="Arial" w:hAnsi="Arial" w:cs="Arial"/>
          <w:sz w:val="20"/>
          <w:szCs w:val="20"/>
        </w:rPr>
        <w:t xml:space="preserve">la totalidad de </w:t>
      </w:r>
      <w:r w:rsidRPr="00194CAB">
        <w:rPr>
          <w:rFonts w:ascii="Arial" w:hAnsi="Arial" w:cs="Arial"/>
          <w:sz w:val="20"/>
          <w:szCs w:val="20"/>
        </w:rPr>
        <w:t>los puntos de pericia ordenados</w:t>
      </w:r>
      <w:r w:rsidR="00DC7FCB" w:rsidRPr="00194CAB">
        <w:rPr>
          <w:rFonts w:ascii="Arial" w:hAnsi="Arial" w:cs="Arial"/>
          <w:sz w:val="20"/>
          <w:szCs w:val="20"/>
        </w:rPr>
        <w:t xml:space="preserve"> (propios y como medida para mejor proveer)</w:t>
      </w:r>
      <w:r w:rsidRPr="00194CAB">
        <w:rPr>
          <w:rFonts w:ascii="Arial" w:hAnsi="Arial" w:cs="Arial"/>
          <w:sz w:val="20"/>
          <w:szCs w:val="20"/>
        </w:rPr>
        <w:t>.</w:t>
      </w:r>
      <w:r w:rsidR="00DC7FCB" w:rsidRPr="00194CAB">
        <w:rPr>
          <w:rFonts w:ascii="Arial" w:hAnsi="Arial" w:cs="Arial"/>
          <w:sz w:val="20"/>
          <w:szCs w:val="20"/>
        </w:rPr>
        <w:t xml:space="preserve"> En consecuencia, el TFAPBA considera que el contribuyente “</w:t>
      </w:r>
      <w:r w:rsidR="00DC7FCB" w:rsidRPr="00194CAB">
        <w:rPr>
          <w:rFonts w:ascii="Arial" w:hAnsi="Arial" w:cs="Arial"/>
          <w:b/>
          <w:bCs/>
          <w:i/>
          <w:iCs/>
          <w:sz w:val="20"/>
          <w:szCs w:val="20"/>
        </w:rPr>
        <w:t>no</w:t>
      </w:r>
      <w:r w:rsidRPr="00194CAB">
        <w:rPr>
          <w:rFonts w:ascii="Arial" w:hAnsi="Arial" w:cs="Arial"/>
          <w:b/>
          <w:bCs/>
          <w:i/>
          <w:iCs/>
          <w:sz w:val="20"/>
          <w:szCs w:val="20"/>
        </w:rPr>
        <w:t xml:space="preserve"> ha intentado profundizar en sus propias explicaciones acerca de los conceptos por los cuales se habrían emitido las notas de crédito ajustadas, su origen y por qué resultarían encuadrables dentro de las deducciones admitidas por el artículo 189, Inc. A) del Código Fiscal</w:t>
      </w:r>
      <w:r w:rsidRPr="00194CAB">
        <w:rPr>
          <w:rFonts w:ascii="Arial" w:hAnsi="Arial" w:cs="Arial"/>
          <w:i/>
          <w:iCs/>
          <w:sz w:val="20"/>
          <w:szCs w:val="20"/>
        </w:rPr>
        <w:t>”</w:t>
      </w:r>
      <w:r w:rsidR="00DC7FCB" w:rsidRPr="00194CAB">
        <w:rPr>
          <w:rFonts w:ascii="Arial" w:hAnsi="Arial" w:cs="Arial"/>
          <w:sz w:val="20"/>
          <w:szCs w:val="20"/>
        </w:rPr>
        <w:t xml:space="preserve">. </w:t>
      </w:r>
      <w:r w:rsidRPr="00194CAB">
        <w:rPr>
          <w:rFonts w:ascii="Arial" w:hAnsi="Arial" w:cs="Arial"/>
          <w:sz w:val="20"/>
          <w:szCs w:val="20"/>
        </w:rPr>
        <w:t>Por lo tanto,</w:t>
      </w:r>
      <w:r w:rsidR="00194CAB">
        <w:rPr>
          <w:rFonts w:ascii="Arial" w:hAnsi="Arial" w:cs="Arial"/>
          <w:sz w:val="20"/>
          <w:szCs w:val="20"/>
        </w:rPr>
        <w:t xml:space="preserve"> se </w:t>
      </w:r>
      <w:r w:rsidRPr="00194CAB">
        <w:rPr>
          <w:rFonts w:ascii="Arial" w:hAnsi="Arial" w:cs="Arial"/>
          <w:sz w:val="20"/>
          <w:szCs w:val="20"/>
        </w:rPr>
        <w:t>rechaza el recurso de apelación.</w:t>
      </w:r>
      <w:r w:rsidR="00194CAB">
        <w:rPr>
          <w:rFonts w:ascii="Arial" w:hAnsi="Arial" w:cs="Arial"/>
          <w:sz w:val="20"/>
          <w:szCs w:val="20"/>
        </w:rPr>
        <w:t xml:space="preserve"> </w:t>
      </w:r>
      <w:r w:rsidR="00194CAB" w:rsidRPr="00194CAB">
        <w:rPr>
          <w:rFonts w:ascii="Arial" w:hAnsi="Arial" w:cs="Arial"/>
          <w:b/>
          <w:bCs/>
          <w:i/>
          <w:iCs/>
          <w:color w:val="222A35" w:themeColor="text2" w:themeShade="80"/>
          <w:sz w:val="20"/>
          <w:szCs w:val="20"/>
        </w:rPr>
        <w:t>"Productos de Agua S.A. (29/04/2022)</w:t>
      </w:r>
      <w:r w:rsidR="00194CAB">
        <w:rPr>
          <w:rFonts w:ascii="Arial" w:hAnsi="Arial" w:cs="Arial"/>
          <w:b/>
          <w:bCs/>
          <w:i/>
          <w:iCs/>
          <w:color w:val="222A35" w:themeColor="text2" w:themeShade="80"/>
          <w:sz w:val="20"/>
          <w:szCs w:val="20"/>
        </w:rPr>
        <w:t>”.</w:t>
      </w:r>
    </w:p>
    <w:p w14:paraId="36E26456" w14:textId="73A12812" w:rsidR="008A565B" w:rsidRPr="00A751CF" w:rsidRDefault="008A565B" w:rsidP="00A751CF">
      <w:pPr>
        <w:snapToGrid w:val="0"/>
        <w:spacing w:after="240" w:line="360" w:lineRule="auto"/>
        <w:jc w:val="both"/>
        <w:rPr>
          <w:rFonts w:ascii="Arial" w:hAnsi="Arial" w:cs="Arial"/>
          <w:b/>
          <w:bCs/>
          <w:sz w:val="22"/>
          <w:szCs w:val="22"/>
          <w:u w:val="single"/>
          <w:lang w:val="es-ES_tradnl"/>
        </w:rPr>
      </w:pPr>
      <w:r w:rsidRPr="00A751CF">
        <w:rPr>
          <w:rFonts w:ascii="Arial" w:hAnsi="Arial" w:cs="Arial"/>
          <w:b/>
          <w:bCs/>
          <w:sz w:val="22"/>
          <w:szCs w:val="22"/>
          <w:u w:val="single"/>
          <w:lang w:val="es-ES_tradnl"/>
        </w:rPr>
        <w:t>Comisión Arbitral y Plenaria</w:t>
      </w:r>
    </w:p>
    <w:p w14:paraId="7E5E8F0A" w14:textId="7B07E2D2" w:rsidR="00E36148" w:rsidRDefault="00A751CF" w:rsidP="00A04E0D">
      <w:pPr>
        <w:pStyle w:val="Prrafodelista"/>
        <w:numPr>
          <w:ilvl w:val="2"/>
          <w:numId w:val="3"/>
        </w:numPr>
        <w:snapToGrid w:val="0"/>
        <w:spacing w:after="240" w:line="360" w:lineRule="auto"/>
        <w:contextualSpacing w:val="0"/>
        <w:jc w:val="both"/>
        <w:rPr>
          <w:rFonts w:ascii="Arial" w:hAnsi="Arial" w:cs="Arial"/>
          <w:sz w:val="20"/>
          <w:szCs w:val="20"/>
          <w:lang w:val="es-ES_tradnl"/>
        </w:rPr>
      </w:pPr>
      <w:r w:rsidRPr="00CC08B6">
        <w:rPr>
          <w:rFonts w:ascii="Arial" w:hAnsi="Arial" w:cs="Arial"/>
          <w:b/>
          <w:bCs/>
          <w:sz w:val="20"/>
          <w:szCs w:val="20"/>
          <w:lang w:val="es-ES_tradnl"/>
        </w:rPr>
        <w:t xml:space="preserve">Comisión Plenaria. R. N°11/2022. </w:t>
      </w:r>
      <w:r w:rsidRPr="00CC08B6">
        <w:rPr>
          <w:rFonts w:ascii="Arial" w:hAnsi="Arial" w:cs="Arial"/>
          <w:b/>
          <w:bCs/>
          <w:i/>
          <w:iCs/>
          <w:sz w:val="20"/>
          <w:szCs w:val="20"/>
          <w:lang w:val="es-ES_tradnl"/>
        </w:rPr>
        <w:t>“Ford Argentina SCA c/Provincia de Río Negro (9/06/2022)”</w:t>
      </w:r>
      <w:r w:rsidRPr="00CC08B6">
        <w:rPr>
          <w:rFonts w:ascii="Arial" w:hAnsi="Arial" w:cs="Arial"/>
          <w:b/>
          <w:bCs/>
          <w:sz w:val="20"/>
          <w:szCs w:val="20"/>
          <w:lang w:val="es-ES_tradnl"/>
        </w:rPr>
        <w:t xml:space="preserve">. </w:t>
      </w:r>
      <w:r w:rsidRPr="00A9586B">
        <w:rPr>
          <w:rFonts w:ascii="Arial" w:hAnsi="Arial" w:cs="Arial"/>
          <w:sz w:val="20"/>
          <w:szCs w:val="20"/>
          <w:lang w:val="es-ES_tradnl"/>
        </w:rPr>
        <w:t>Atribución de Ingresos. Destino Final. Aplicación de Presunciones. Afectación de los Intereses de Otros Fiscos.</w:t>
      </w:r>
      <w:r w:rsidR="00CC08B6" w:rsidRPr="00CC08B6">
        <w:rPr>
          <w:rFonts w:ascii="Arial" w:hAnsi="Arial" w:cs="Arial"/>
          <w:b/>
          <w:bCs/>
          <w:sz w:val="20"/>
          <w:szCs w:val="20"/>
          <w:lang w:val="es-ES_tradnl"/>
        </w:rPr>
        <w:t xml:space="preserve"> </w:t>
      </w:r>
      <w:r w:rsidR="00CD7CED">
        <w:rPr>
          <w:rFonts w:ascii="Arial" w:hAnsi="Arial" w:cs="Arial"/>
          <w:sz w:val="20"/>
          <w:szCs w:val="20"/>
          <w:lang w:val="es-ES_tradnl"/>
        </w:rPr>
        <w:t>Interviene</w:t>
      </w:r>
      <w:r w:rsidR="00CC08B6" w:rsidRPr="00CC08B6">
        <w:rPr>
          <w:rFonts w:ascii="Arial" w:hAnsi="Arial" w:cs="Arial"/>
          <w:sz w:val="20"/>
          <w:szCs w:val="20"/>
          <w:lang w:val="es-ES_tradnl"/>
        </w:rPr>
        <w:t xml:space="preserve"> la </w:t>
      </w:r>
      <w:r w:rsidR="00CC08B6" w:rsidRPr="00CC08B6">
        <w:rPr>
          <w:rFonts w:ascii="Arial" w:hAnsi="Arial" w:cs="Arial"/>
          <w:sz w:val="20"/>
          <w:szCs w:val="20"/>
          <w:lang w:val="es-ES_tradnl"/>
        </w:rPr>
        <w:lastRenderedPageBreak/>
        <w:t xml:space="preserve">Provincia del Neuquén advirtiendo que las presunciones aplicadas por Río Negro (convalidades por la CA) para atribuir ingresos (lugar de patentamiento) afectan la base imponible de otros fiscos y no responden al criterio de destino final de los bienes, que debe ser el domicilio </w:t>
      </w:r>
      <w:r w:rsidR="00977174" w:rsidRPr="00CC08B6">
        <w:rPr>
          <w:rFonts w:ascii="Arial" w:hAnsi="Arial" w:cs="Arial"/>
          <w:sz w:val="20"/>
          <w:szCs w:val="20"/>
          <w:lang w:val="es-ES_tradnl"/>
        </w:rPr>
        <w:t>de la concesionaria, quien, en la realidad de los hechos, resulta ser efectivamente la adquirente de Ford Argentina SCA, puesto que ello es lo que prevé el propio Convenio</w:t>
      </w:r>
      <w:r w:rsidR="00CC08B6" w:rsidRPr="00CC08B6">
        <w:rPr>
          <w:rFonts w:ascii="Arial" w:hAnsi="Arial" w:cs="Arial"/>
          <w:sz w:val="20"/>
          <w:szCs w:val="20"/>
          <w:lang w:val="es-ES_tradnl"/>
        </w:rPr>
        <w:t xml:space="preserve">. </w:t>
      </w:r>
      <w:r w:rsidR="00CC08B6">
        <w:rPr>
          <w:rFonts w:ascii="Arial" w:hAnsi="Arial" w:cs="Arial"/>
          <w:sz w:val="20"/>
          <w:szCs w:val="20"/>
          <w:lang w:val="es-ES_tradnl"/>
        </w:rPr>
        <w:t>Por su parte, e</w:t>
      </w:r>
      <w:r w:rsidR="00CC08B6" w:rsidRPr="00CC08B6">
        <w:rPr>
          <w:rFonts w:ascii="Arial" w:hAnsi="Arial" w:cs="Arial"/>
          <w:sz w:val="20"/>
          <w:szCs w:val="20"/>
          <w:lang w:val="es-ES_tradnl"/>
        </w:rPr>
        <w:t>l contribuyente sostiene que precisamente la cuestión discutida en autos era si es procedente a la luz del Convenio Multilateral que la provincia de Río Negro se atribuyese ingresos atendiendo al domicilio de patentamiento de las unidades vendidas por Ford Argentina SCA a su concesionario en la provincia del Neuquén, e insiste en señalar que Ford Argentina SCA atribuyó los ingresos a la jurisdicción del Neuquén por cuanto el concesionario (adquirente final en los términos del Convenio Multilateral y la Resolución General 14/2017) tenía domicilio en dicha jurisdicción</w:t>
      </w:r>
      <w:r w:rsidR="00CC08B6">
        <w:rPr>
          <w:rFonts w:ascii="Arial" w:hAnsi="Arial" w:cs="Arial"/>
          <w:sz w:val="20"/>
          <w:szCs w:val="20"/>
          <w:lang w:val="es-ES_tradnl"/>
        </w:rPr>
        <w:t>.</w:t>
      </w:r>
      <w:r w:rsidR="00E36148">
        <w:rPr>
          <w:rFonts w:ascii="Arial" w:hAnsi="Arial" w:cs="Arial"/>
          <w:sz w:val="20"/>
          <w:szCs w:val="20"/>
          <w:lang w:val="es-ES_tradnl"/>
        </w:rPr>
        <w:t xml:space="preserve"> </w:t>
      </w:r>
      <w:r w:rsidR="00E36148" w:rsidRPr="00E36148">
        <w:rPr>
          <w:rFonts w:ascii="Arial" w:hAnsi="Arial" w:cs="Arial"/>
          <w:sz w:val="20"/>
          <w:szCs w:val="20"/>
          <w:lang w:val="es-ES_tradnl"/>
        </w:rPr>
        <w:t>Río Negro insiste en indicar que habría atribuido los ingresos siguiendo el criterio del domicilio de patentamiento de los vehículos</w:t>
      </w:r>
      <w:r w:rsidR="00E36148">
        <w:rPr>
          <w:rFonts w:ascii="Arial" w:hAnsi="Arial" w:cs="Arial"/>
          <w:sz w:val="20"/>
          <w:szCs w:val="20"/>
          <w:lang w:val="es-ES_tradnl"/>
        </w:rPr>
        <w:t xml:space="preserve"> sólo </w:t>
      </w:r>
      <w:r w:rsidR="00E36148" w:rsidRPr="00E36148">
        <w:rPr>
          <w:rFonts w:ascii="Arial" w:hAnsi="Arial" w:cs="Arial"/>
          <w:sz w:val="20"/>
          <w:szCs w:val="20"/>
          <w:lang w:val="es-ES_tradnl"/>
        </w:rPr>
        <w:t xml:space="preserve">como </w:t>
      </w:r>
      <w:r w:rsidR="00E36148" w:rsidRPr="00E36148">
        <w:rPr>
          <w:rFonts w:ascii="Arial" w:hAnsi="Arial" w:cs="Arial"/>
          <w:b/>
          <w:bCs/>
          <w:sz w:val="20"/>
          <w:szCs w:val="20"/>
          <w:lang w:val="es-ES_tradnl"/>
        </w:rPr>
        <w:t>base presunta</w:t>
      </w:r>
      <w:r w:rsidR="00E36148" w:rsidRPr="00E36148">
        <w:rPr>
          <w:rFonts w:ascii="Arial" w:hAnsi="Arial" w:cs="Arial"/>
          <w:sz w:val="20"/>
          <w:szCs w:val="20"/>
          <w:lang w:val="es-ES_tradnl"/>
        </w:rPr>
        <w:t xml:space="preserve"> por la falta de información brindada por la misma</w:t>
      </w:r>
      <w:r w:rsidR="00E36148">
        <w:rPr>
          <w:rFonts w:ascii="Arial" w:hAnsi="Arial" w:cs="Arial"/>
          <w:sz w:val="20"/>
          <w:szCs w:val="20"/>
          <w:lang w:val="es-ES_tradnl"/>
        </w:rPr>
        <w:t xml:space="preserve">. Finalmente la Comisión Plenaria ratifica la R. (CA) 23/2021, expresando que </w:t>
      </w:r>
      <w:r w:rsidR="00E36148" w:rsidRPr="00E36148">
        <w:rPr>
          <w:rFonts w:ascii="Arial" w:hAnsi="Arial" w:cs="Arial"/>
          <w:sz w:val="20"/>
          <w:szCs w:val="20"/>
          <w:lang w:val="es-ES_tradnl"/>
        </w:rPr>
        <w:t xml:space="preserve">Río Negro tuvo que </w:t>
      </w:r>
      <w:r w:rsidR="00CD7CED" w:rsidRPr="00E36148">
        <w:rPr>
          <w:rFonts w:ascii="Arial" w:hAnsi="Arial" w:cs="Arial"/>
          <w:sz w:val="20"/>
          <w:szCs w:val="20"/>
          <w:lang w:val="es-ES_tradnl"/>
        </w:rPr>
        <w:t>aplicar</w:t>
      </w:r>
      <w:r w:rsidR="00E36148" w:rsidRPr="00E36148">
        <w:rPr>
          <w:rFonts w:ascii="Arial" w:hAnsi="Arial" w:cs="Arial"/>
          <w:sz w:val="20"/>
          <w:szCs w:val="20"/>
          <w:lang w:val="es-ES_tradnl"/>
        </w:rPr>
        <w:t xml:space="preserve"> un método presuntivo ante la falta de respuesta a determinados requerimientos tendientes a una verificación sobre base cierta</w:t>
      </w:r>
      <w:r w:rsidR="00CD7CED">
        <w:rPr>
          <w:rFonts w:ascii="Arial" w:hAnsi="Arial" w:cs="Arial"/>
          <w:sz w:val="20"/>
          <w:szCs w:val="20"/>
          <w:lang w:val="es-ES_tradnl"/>
        </w:rPr>
        <w:t>.</w:t>
      </w:r>
    </w:p>
    <w:p w14:paraId="65CF4316" w14:textId="2C1550D0" w:rsidR="00027075" w:rsidRPr="00027075" w:rsidRDefault="00027075" w:rsidP="00027075">
      <w:pPr>
        <w:pStyle w:val="Prrafodelista"/>
        <w:numPr>
          <w:ilvl w:val="0"/>
          <w:numId w:val="9"/>
        </w:numPr>
        <w:snapToGrid w:val="0"/>
        <w:spacing w:after="240" w:line="360" w:lineRule="auto"/>
        <w:contextualSpacing w:val="0"/>
        <w:jc w:val="both"/>
        <w:rPr>
          <w:rFonts w:ascii="Arial" w:hAnsi="Arial" w:cs="Arial"/>
          <w:b/>
          <w:bCs/>
          <w:sz w:val="20"/>
          <w:szCs w:val="20"/>
          <w:lang w:val="es-ES_tradnl"/>
        </w:rPr>
      </w:pPr>
      <w:r>
        <w:rPr>
          <w:rFonts w:ascii="Arial" w:hAnsi="Arial" w:cs="Arial"/>
          <w:b/>
          <w:bCs/>
          <w:sz w:val="20"/>
          <w:szCs w:val="20"/>
          <w:lang w:val="es-ES_tradnl"/>
        </w:rPr>
        <w:t>Comisión Arbitral R.</w:t>
      </w:r>
      <w:r w:rsidRPr="00027075">
        <w:rPr>
          <w:rFonts w:ascii="Arial" w:hAnsi="Arial" w:cs="Arial"/>
          <w:b/>
          <w:bCs/>
          <w:sz w:val="20"/>
          <w:szCs w:val="20"/>
          <w:lang w:val="es-ES_tradnl"/>
        </w:rPr>
        <w:t xml:space="preserve"> 12/2022. </w:t>
      </w:r>
      <w:r w:rsidRPr="00027075">
        <w:rPr>
          <w:rFonts w:ascii="Arial" w:hAnsi="Arial" w:cs="Arial"/>
          <w:b/>
          <w:bCs/>
          <w:i/>
          <w:iCs/>
          <w:sz w:val="20"/>
          <w:szCs w:val="20"/>
          <w:lang w:val="es-ES_tradnl"/>
        </w:rPr>
        <w:t>“Whirlpool Argentina S.R.L. c/Provincia de Buenos Aires (4/05/2022)”</w:t>
      </w:r>
      <w:r w:rsidRPr="00027075">
        <w:rPr>
          <w:rFonts w:ascii="Arial" w:hAnsi="Arial" w:cs="Arial"/>
          <w:b/>
          <w:bCs/>
          <w:sz w:val="20"/>
          <w:szCs w:val="20"/>
          <w:lang w:val="es-ES_tradnl"/>
        </w:rPr>
        <w:t xml:space="preserve">. </w:t>
      </w:r>
      <w:r w:rsidRPr="00027075">
        <w:rPr>
          <w:rFonts w:ascii="Arial" w:hAnsi="Arial" w:cs="Arial"/>
          <w:sz w:val="20"/>
          <w:szCs w:val="20"/>
          <w:lang w:val="es-ES_tradnl"/>
        </w:rPr>
        <w:t xml:space="preserve">La Provincia sostiene el criterio de lugar de entrega a los fines de la atribución de los ingresos mientras que la apelante ha asignado sus ingresos por ventas a la jurisdicción en la que se perfeccionó el acuerdo de venta (concertación), merced a la intervención del cliente con el intermediario enviado por la compañía. </w:t>
      </w:r>
    </w:p>
    <w:p w14:paraId="5B4D9B53" w14:textId="77777777" w:rsidR="00027075" w:rsidRPr="00184285" w:rsidRDefault="00027075" w:rsidP="00027075">
      <w:pPr>
        <w:snapToGrid w:val="0"/>
        <w:spacing w:after="240" w:line="360" w:lineRule="auto"/>
        <w:ind w:left="360"/>
        <w:jc w:val="both"/>
        <w:rPr>
          <w:rFonts w:ascii="Arial" w:hAnsi="Arial" w:cs="Arial"/>
          <w:b/>
          <w:bCs/>
          <w:sz w:val="20"/>
          <w:szCs w:val="20"/>
        </w:rPr>
      </w:pPr>
      <w:r w:rsidRPr="00184285">
        <w:rPr>
          <w:rFonts w:ascii="Arial" w:hAnsi="Arial" w:cs="Arial"/>
          <w:b/>
          <w:bCs/>
          <w:sz w:val="20"/>
          <w:szCs w:val="20"/>
        </w:rPr>
        <w:t xml:space="preserve">A su turno la CA expresa que: </w:t>
      </w:r>
    </w:p>
    <w:p w14:paraId="4B4CB46A" w14:textId="77777777" w:rsidR="00027075" w:rsidRPr="00A7428F" w:rsidRDefault="00027075" w:rsidP="00027075">
      <w:pPr>
        <w:pStyle w:val="Prrafodelista"/>
        <w:numPr>
          <w:ilvl w:val="0"/>
          <w:numId w:val="8"/>
        </w:numPr>
        <w:snapToGrid w:val="0"/>
        <w:spacing w:after="240" w:line="360" w:lineRule="auto"/>
        <w:ind w:left="720"/>
        <w:contextualSpacing w:val="0"/>
        <w:jc w:val="both"/>
        <w:rPr>
          <w:rFonts w:ascii="Arial" w:hAnsi="Arial" w:cs="Arial"/>
          <w:sz w:val="20"/>
          <w:szCs w:val="20"/>
          <w:lang w:val="es-ES_tradnl"/>
        </w:rPr>
      </w:pPr>
      <w:r w:rsidRPr="00A7428F">
        <w:rPr>
          <w:rFonts w:ascii="Arial" w:hAnsi="Arial" w:cs="Arial"/>
          <w:sz w:val="20"/>
          <w:szCs w:val="20"/>
          <w:lang w:val="es-ES_tradnl"/>
        </w:rPr>
        <w:t xml:space="preserve">Esta Comisión tiene dicho que el factor determinante para establecer a qué jurisdicción se deben atribuir los ingresos provenientes de la venta de mercaderías, no responde al lugar físico de la entrega de ellas, ni a la jurisdicción donde la operación fue concertada, ni tampoco a la jurisdicción del domicilio de facturación o por ser el mero domicilio fiscal del comprador, sino que toma importancia el lugar de destino final de las mismas, siempre que sea conocido por el vendedor al momento en que se concretaron cada una de las ventas (en tanto y en cuanto exista sustento territorial en esa jurisdicción).  </w:t>
      </w:r>
    </w:p>
    <w:p w14:paraId="58B22A9C" w14:textId="77777777" w:rsidR="00027075" w:rsidRPr="00A7428F" w:rsidRDefault="00027075" w:rsidP="00027075">
      <w:pPr>
        <w:pStyle w:val="Prrafodelista"/>
        <w:numPr>
          <w:ilvl w:val="0"/>
          <w:numId w:val="8"/>
        </w:numPr>
        <w:snapToGrid w:val="0"/>
        <w:spacing w:after="240" w:line="360" w:lineRule="auto"/>
        <w:ind w:left="720"/>
        <w:contextualSpacing w:val="0"/>
        <w:jc w:val="both"/>
        <w:rPr>
          <w:rFonts w:ascii="Arial" w:hAnsi="Arial" w:cs="Arial"/>
          <w:sz w:val="20"/>
          <w:szCs w:val="20"/>
          <w:lang w:val="es-ES_tradnl"/>
        </w:rPr>
      </w:pPr>
      <w:r w:rsidRPr="00A7428F">
        <w:rPr>
          <w:rFonts w:ascii="Arial" w:hAnsi="Arial" w:cs="Arial"/>
          <w:sz w:val="20"/>
          <w:szCs w:val="20"/>
          <w:lang w:val="es-ES_tradnl"/>
        </w:rPr>
        <w:t xml:space="preserve">En función de lo expuesto, en el caso concreto corresponde atribuir los ingresos a la jurisdicción de destino final de los bienes, coincida o no con el lugar de entrega de los mismos.  </w:t>
      </w:r>
    </w:p>
    <w:p w14:paraId="46199649" w14:textId="77777777" w:rsidR="00027075" w:rsidRPr="00A9586B" w:rsidRDefault="00027075" w:rsidP="00027075">
      <w:pPr>
        <w:pStyle w:val="Prrafodelista"/>
        <w:numPr>
          <w:ilvl w:val="0"/>
          <w:numId w:val="8"/>
        </w:numPr>
        <w:snapToGrid w:val="0"/>
        <w:spacing w:after="240" w:line="360" w:lineRule="auto"/>
        <w:ind w:left="720"/>
        <w:contextualSpacing w:val="0"/>
        <w:jc w:val="both"/>
        <w:rPr>
          <w:rFonts w:ascii="Arial" w:hAnsi="Arial" w:cs="Arial"/>
          <w:b/>
          <w:bCs/>
          <w:sz w:val="20"/>
          <w:szCs w:val="20"/>
          <w:lang w:val="es-ES_tradnl"/>
        </w:rPr>
      </w:pPr>
      <w:r w:rsidRPr="00A9586B">
        <w:rPr>
          <w:rFonts w:ascii="Arial" w:hAnsi="Arial" w:cs="Arial"/>
          <w:b/>
          <w:bCs/>
          <w:sz w:val="20"/>
          <w:szCs w:val="20"/>
          <w:lang w:val="es-ES_tradnl"/>
        </w:rPr>
        <w:lastRenderedPageBreak/>
        <w:t xml:space="preserve">De las actuaciones surge que, en la mayoría de los casos, el criterio expuesto es el adoptado por la provincia de Buenos Aires al efectuar el ajuste. </w:t>
      </w:r>
    </w:p>
    <w:p w14:paraId="5EA752C6" w14:textId="77777777" w:rsidR="00027075" w:rsidRPr="00A9586B" w:rsidRDefault="00027075" w:rsidP="00027075">
      <w:pPr>
        <w:pStyle w:val="Prrafodelista"/>
        <w:snapToGrid w:val="0"/>
        <w:spacing w:after="240" w:line="360" w:lineRule="auto"/>
        <w:contextualSpacing w:val="0"/>
        <w:jc w:val="both"/>
        <w:rPr>
          <w:rFonts w:ascii="Arial" w:hAnsi="Arial" w:cs="Arial"/>
          <w:sz w:val="20"/>
          <w:szCs w:val="20"/>
          <w:lang w:val="es-ES_tradnl"/>
        </w:rPr>
      </w:pPr>
      <w:r w:rsidRPr="00A9586B">
        <w:rPr>
          <w:rFonts w:ascii="Arial" w:hAnsi="Arial" w:cs="Arial"/>
          <w:sz w:val="20"/>
          <w:szCs w:val="20"/>
          <w:lang w:val="es-ES_tradnl"/>
        </w:rPr>
        <w:t>Por ello, si hubiere algún caso en el que la provincia de Buenos Aires ajustó conforme al criterio de lugar de entrega y éste no coincidiera con el lugar del destino final de las mercaderías, deberá readecuar su determinación atribuyendo los ingresos provenientes de las ventas de la empresa a las jurisdicciones de destino de los bienes que comercializa, en tanto la firma tenga conocimiento del mismo.</w:t>
      </w:r>
    </w:p>
    <w:p w14:paraId="789586CD" w14:textId="6C71EF2B" w:rsidR="00027075" w:rsidRDefault="00432421" w:rsidP="00432421">
      <w:pPr>
        <w:pStyle w:val="Prrafodelista"/>
        <w:numPr>
          <w:ilvl w:val="0"/>
          <w:numId w:val="9"/>
        </w:numPr>
        <w:snapToGrid w:val="0"/>
        <w:spacing w:after="240" w:line="360" w:lineRule="auto"/>
        <w:contextualSpacing w:val="0"/>
        <w:jc w:val="both"/>
        <w:rPr>
          <w:rFonts w:ascii="Arial" w:hAnsi="Arial" w:cs="Arial"/>
          <w:sz w:val="20"/>
          <w:szCs w:val="20"/>
        </w:rPr>
      </w:pPr>
      <w:r w:rsidRPr="00432421">
        <w:rPr>
          <w:rFonts w:ascii="Arial" w:hAnsi="Arial" w:cs="Arial"/>
          <w:b/>
          <w:bCs/>
          <w:sz w:val="20"/>
          <w:szCs w:val="20"/>
          <w:lang w:val="es-ES_tradnl"/>
        </w:rPr>
        <w:t xml:space="preserve">Comisión Arbitral. R. </w:t>
      </w:r>
      <w:r w:rsidR="00027075" w:rsidRPr="00432421">
        <w:rPr>
          <w:rFonts w:ascii="Arial" w:hAnsi="Arial" w:cs="Arial"/>
          <w:b/>
          <w:bCs/>
          <w:sz w:val="20"/>
          <w:szCs w:val="20"/>
          <w:lang w:val="es-ES_tradnl"/>
        </w:rPr>
        <w:t xml:space="preserve">13/2022. </w:t>
      </w:r>
      <w:r w:rsidR="00027075" w:rsidRPr="00432421">
        <w:rPr>
          <w:rFonts w:ascii="Arial" w:hAnsi="Arial" w:cs="Arial"/>
          <w:b/>
          <w:bCs/>
          <w:i/>
          <w:iCs/>
          <w:sz w:val="20"/>
          <w:szCs w:val="20"/>
          <w:lang w:val="es-ES_tradnl"/>
        </w:rPr>
        <w:t>“</w:t>
      </w:r>
      <w:proofErr w:type="spellStart"/>
      <w:r w:rsidR="00027075" w:rsidRPr="00432421">
        <w:rPr>
          <w:rFonts w:ascii="Arial" w:hAnsi="Arial" w:cs="Arial"/>
          <w:b/>
          <w:bCs/>
          <w:i/>
          <w:iCs/>
          <w:sz w:val="20"/>
          <w:szCs w:val="20"/>
          <w:lang w:val="es-ES_tradnl"/>
        </w:rPr>
        <w:t>Unisol</w:t>
      </w:r>
      <w:proofErr w:type="spellEnd"/>
      <w:r w:rsidR="00027075" w:rsidRPr="00432421">
        <w:rPr>
          <w:rFonts w:ascii="Arial" w:hAnsi="Arial" w:cs="Arial"/>
          <w:b/>
          <w:bCs/>
          <w:i/>
          <w:iCs/>
          <w:sz w:val="20"/>
          <w:szCs w:val="20"/>
          <w:lang w:val="es-ES_tradnl"/>
        </w:rPr>
        <w:t xml:space="preserve"> S.A. c/Provincia de Buenos Aires”</w:t>
      </w:r>
      <w:r w:rsidR="00027075" w:rsidRPr="00432421">
        <w:rPr>
          <w:rFonts w:ascii="Arial" w:hAnsi="Arial" w:cs="Arial"/>
          <w:b/>
          <w:bCs/>
          <w:sz w:val="20"/>
          <w:szCs w:val="20"/>
          <w:lang w:val="es-ES_tradnl"/>
        </w:rPr>
        <w:t xml:space="preserve">. </w:t>
      </w:r>
      <w:r w:rsidR="00027075" w:rsidRPr="00A9586B">
        <w:rPr>
          <w:rFonts w:ascii="Arial" w:hAnsi="Arial" w:cs="Arial"/>
          <w:sz w:val="20"/>
          <w:szCs w:val="20"/>
          <w:lang w:val="es-ES_tradnl"/>
        </w:rPr>
        <w:t>La PBA sostiene el criterio de lugar de entrega a los fines de la atribución de los ingresos mientras que la apelante lo ha hecho en función del domicilio del adquirente (interpretado este como destino final).</w:t>
      </w:r>
      <w:r w:rsidRPr="00A9586B">
        <w:rPr>
          <w:rFonts w:ascii="Arial" w:hAnsi="Arial" w:cs="Arial"/>
          <w:sz w:val="20"/>
          <w:szCs w:val="20"/>
          <w:lang w:val="es-ES_tradnl"/>
        </w:rPr>
        <w:t xml:space="preserve"> </w:t>
      </w:r>
      <w:r w:rsidR="00CB5904">
        <w:rPr>
          <w:rFonts w:ascii="Arial" w:hAnsi="Arial" w:cs="Arial"/>
          <w:sz w:val="20"/>
          <w:szCs w:val="20"/>
        </w:rPr>
        <w:t>El contribuyente</w:t>
      </w:r>
      <w:r w:rsidR="00027075" w:rsidRPr="00432421">
        <w:rPr>
          <w:rFonts w:ascii="Arial" w:hAnsi="Arial" w:cs="Arial"/>
          <w:sz w:val="20"/>
          <w:szCs w:val="20"/>
        </w:rPr>
        <w:t xml:space="preserve"> agrega que tuvo en cuenta su efectivo conocimiento del domicilio del adquirente que se desprende de las facturas y la observancia de todos los remitos y guías que explican el circuito que hizo la mercadería hasta llegar finalmente a destino (para la ARBA no es suficiente la documentación aportada). </w:t>
      </w:r>
      <w:r w:rsidRPr="00432421">
        <w:rPr>
          <w:rFonts w:ascii="Arial" w:hAnsi="Arial" w:cs="Arial"/>
          <w:sz w:val="20"/>
          <w:szCs w:val="20"/>
        </w:rPr>
        <w:t xml:space="preserve"> </w:t>
      </w:r>
      <w:r w:rsidR="00027075" w:rsidRPr="00432421">
        <w:rPr>
          <w:rFonts w:ascii="Arial" w:hAnsi="Arial" w:cs="Arial"/>
          <w:sz w:val="20"/>
          <w:szCs w:val="20"/>
        </w:rPr>
        <w:t xml:space="preserve">Por su parte, la CA dictó una medida para mejor proveer requiriendo a </w:t>
      </w:r>
      <w:proofErr w:type="spellStart"/>
      <w:r w:rsidR="00027075" w:rsidRPr="00432421">
        <w:rPr>
          <w:rFonts w:ascii="Arial" w:hAnsi="Arial" w:cs="Arial"/>
          <w:sz w:val="20"/>
          <w:szCs w:val="20"/>
        </w:rPr>
        <w:t>Unisol</w:t>
      </w:r>
      <w:proofErr w:type="spellEnd"/>
      <w:r w:rsidR="00027075" w:rsidRPr="00432421">
        <w:rPr>
          <w:rFonts w:ascii="Arial" w:hAnsi="Arial" w:cs="Arial"/>
          <w:sz w:val="20"/>
          <w:szCs w:val="20"/>
        </w:rPr>
        <w:t xml:space="preserve"> SA que informe en relación a los clientes que le fueron detallados, la modalidad en que se celebraron las operaciones realizadas en los períodos motivo del ajuste; esto es, si dichas operaciones fueron en forma presencial, a través de viajantes o a distancia (teléfono, internet, o similares) y que aportara los elementos documentales, </w:t>
      </w:r>
      <w:r w:rsidR="00027075" w:rsidRPr="00432421">
        <w:rPr>
          <w:rFonts w:ascii="Arial" w:hAnsi="Arial" w:cs="Arial"/>
          <w:b/>
          <w:bCs/>
          <w:sz w:val="20"/>
          <w:szCs w:val="20"/>
        </w:rPr>
        <w:t>siendo válida la respuesta sólo en relación a dos clientes del apelante</w:t>
      </w:r>
      <w:r w:rsidR="00027075" w:rsidRPr="00432421">
        <w:rPr>
          <w:rFonts w:ascii="Arial" w:hAnsi="Arial" w:cs="Arial"/>
          <w:sz w:val="20"/>
          <w:szCs w:val="20"/>
        </w:rPr>
        <w:t xml:space="preserve">. </w:t>
      </w:r>
      <w:r w:rsidR="00027075" w:rsidRPr="00432421">
        <w:rPr>
          <w:rFonts w:ascii="Arial" w:hAnsi="Arial" w:cs="Arial"/>
          <w:b/>
          <w:bCs/>
          <w:sz w:val="20"/>
          <w:szCs w:val="20"/>
        </w:rPr>
        <w:t>En consecuencia, sólo se hace lugar parcialmente a la apelación</w:t>
      </w:r>
      <w:r w:rsidR="00027075" w:rsidRPr="00432421">
        <w:rPr>
          <w:rFonts w:ascii="Arial" w:hAnsi="Arial" w:cs="Arial"/>
          <w:sz w:val="20"/>
          <w:szCs w:val="20"/>
        </w:rPr>
        <w:t>.</w:t>
      </w:r>
    </w:p>
    <w:p w14:paraId="27D0D385" w14:textId="280F0504" w:rsidR="00432421" w:rsidRPr="00432421" w:rsidRDefault="00334508" w:rsidP="00432421">
      <w:pPr>
        <w:pStyle w:val="Prrafodelista"/>
        <w:numPr>
          <w:ilvl w:val="0"/>
          <w:numId w:val="9"/>
        </w:numPr>
        <w:snapToGrid w:val="0"/>
        <w:spacing w:after="240" w:line="360" w:lineRule="auto"/>
        <w:contextualSpacing w:val="0"/>
        <w:jc w:val="both"/>
        <w:rPr>
          <w:rFonts w:ascii="Arial" w:hAnsi="Arial" w:cs="Arial"/>
          <w:sz w:val="20"/>
          <w:szCs w:val="20"/>
        </w:rPr>
      </w:pPr>
      <w:r w:rsidRPr="004B652B">
        <w:rPr>
          <w:rFonts w:ascii="Arial" w:hAnsi="Arial" w:cs="Arial"/>
          <w:b/>
          <w:bCs/>
          <w:sz w:val="20"/>
          <w:szCs w:val="20"/>
        </w:rPr>
        <w:t xml:space="preserve">Comisión Arbitral. R. </w:t>
      </w:r>
      <w:r w:rsidR="00FE53A4" w:rsidRPr="004B652B">
        <w:rPr>
          <w:rFonts w:ascii="Arial" w:hAnsi="Arial" w:cs="Arial"/>
          <w:b/>
          <w:bCs/>
          <w:sz w:val="20"/>
          <w:szCs w:val="20"/>
        </w:rPr>
        <w:t>19/2022.</w:t>
      </w:r>
      <w:r w:rsidR="00FE53A4" w:rsidRPr="004B652B">
        <w:rPr>
          <w:rFonts w:ascii="Arial" w:hAnsi="Arial" w:cs="Arial"/>
          <w:sz w:val="20"/>
          <w:szCs w:val="20"/>
        </w:rPr>
        <w:t xml:space="preserve"> </w:t>
      </w:r>
      <w:r w:rsidR="00FE53A4" w:rsidRPr="004B652B">
        <w:rPr>
          <w:rFonts w:ascii="Arial" w:hAnsi="Arial" w:cs="Arial"/>
          <w:b/>
          <w:bCs/>
          <w:i/>
          <w:iCs/>
          <w:sz w:val="20"/>
          <w:szCs w:val="20"/>
        </w:rPr>
        <w:t>"</w:t>
      </w:r>
      <w:proofErr w:type="spellStart"/>
      <w:r w:rsidR="00A9586B" w:rsidRPr="004B652B">
        <w:rPr>
          <w:rFonts w:ascii="Arial" w:hAnsi="Arial" w:cs="Arial"/>
          <w:b/>
          <w:bCs/>
          <w:i/>
          <w:iCs/>
          <w:sz w:val="20"/>
          <w:szCs w:val="20"/>
        </w:rPr>
        <w:t>World</w:t>
      </w:r>
      <w:proofErr w:type="spellEnd"/>
      <w:r w:rsidR="00A9586B" w:rsidRPr="004B652B">
        <w:rPr>
          <w:rFonts w:ascii="Arial" w:hAnsi="Arial" w:cs="Arial"/>
          <w:b/>
          <w:bCs/>
          <w:i/>
          <w:iCs/>
          <w:sz w:val="20"/>
          <w:szCs w:val="20"/>
        </w:rPr>
        <w:t xml:space="preserve"> Sport SRL c/ provincia de Córdoba (22/06/2022)”</w:t>
      </w:r>
      <w:r w:rsidR="00A9586B" w:rsidRPr="004B652B">
        <w:rPr>
          <w:rFonts w:ascii="Arial" w:hAnsi="Arial" w:cs="Arial"/>
          <w:sz w:val="20"/>
          <w:szCs w:val="20"/>
        </w:rPr>
        <w:t xml:space="preserve">. </w:t>
      </w:r>
      <w:r w:rsidR="00F73885" w:rsidRPr="004B652B">
        <w:rPr>
          <w:rFonts w:ascii="Arial" w:hAnsi="Arial" w:cs="Arial"/>
          <w:sz w:val="20"/>
          <w:szCs w:val="20"/>
        </w:rPr>
        <w:t xml:space="preserve">El contribuyente sostiene que no existe sustento territorial puesto que en la provincia de Córdoba no tiene sucursales, corredores, comisionistas, viajantes o consignatarios. Por lo tanto, </w:t>
      </w:r>
      <w:r w:rsidR="00437DC0" w:rsidRPr="00437DC0">
        <w:rPr>
          <w:rFonts w:ascii="Arial" w:hAnsi="Arial" w:cs="Arial"/>
          <w:i/>
          <w:iCs/>
          <w:sz w:val="20"/>
          <w:szCs w:val="20"/>
        </w:rPr>
        <w:t>“</w:t>
      </w:r>
      <w:r w:rsidR="00F73885" w:rsidRPr="00437DC0">
        <w:rPr>
          <w:rFonts w:ascii="Arial" w:hAnsi="Arial" w:cs="Arial"/>
          <w:i/>
          <w:iCs/>
          <w:sz w:val="20"/>
          <w:szCs w:val="20"/>
        </w:rPr>
        <w:t>no existen gastos relacionados con las ventas en esa provincia que tengan directa relación con la actividad de venta de la mercadearía que comercializa</w:t>
      </w:r>
      <w:r w:rsidR="00437DC0" w:rsidRPr="00437DC0">
        <w:rPr>
          <w:rFonts w:ascii="Arial" w:hAnsi="Arial" w:cs="Arial"/>
          <w:i/>
          <w:iCs/>
          <w:sz w:val="20"/>
          <w:szCs w:val="20"/>
        </w:rPr>
        <w:t>”</w:t>
      </w:r>
      <w:r w:rsidR="00F73885" w:rsidRPr="004B652B">
        <w:rPr>
          <w:rFonts w:ascii="Arial" w:hAnsi="Arial" w:cs="Arial"/>
          <w:sz w:val="20"/>
          <w:szCs w:val="20"/>
        </w:rPr>
        <w:t xml:space="preserve">. Sí, reconoce que tuvo gastos que no se relacionan con las ventas porque fueron realizados para tratar de recuperar un crédito en mora y, por ello, no otorgan sustento territorial para pretender la inscripción en la provincia de Córdoba. </w:t>
      </w:r>
      <w:r w:rsidR="00CF10FD" w:rsidRPr="004B652B">
        <w:rPr>
          <w:rFonts w:ascii="Arial" w:hAnsi="Arial" w:cs="Arial"/>
          <w:sz w:val="20"/>
          <w:szCs w:val="20"/>
        </w:rPr>
        <w:t>En cuanto a las ventas, agrega si bien sabe que algunos compradores (por medio de plataformas de ventas de internet) tienen domicilio en la provincia de Córdoba, desconoce el destino final de los bienes y no existen gastos relacionados con las mismas en la provincia de Córdoba. Por su parte</w:t>
      </w:r>
      <w:r w:rsidR="00F73885" w:rsidRPr="004B652B">
        <w:rPr>
          <w:rFonts w:ascii="Arial" w:hAnsi="Arial" w:cs="Arial"/>
          <w:sz w:val="20"/>
          <w:szCs w:val="20"/>
        </w:rPr>
        <w:t xml:space="preserve">, el Fisco sostiene que, dado el reconocimiento del contribuyente, todo se transforma en una cuestión de pleno derecho </w:t>
      </w:r>
      <w:r w:rsidR="002D5B4E" w:rsidRPr="004B652B">
        <w:rPr>
          <w:rFonts w:ascii="Arial" w:hAnsi="Arial" w:cs="Arial"/>
          <w:sz w:val="20"/>
          <w:szCs w:val="20"/>
        </w:rPr>
        <w:t xml:space="preserve">puesto </w:t>
      </w:r>
      <w:r w:rsidR="00F73885" w:rsidRPr="004B652B">
        <w:rPr>
          <w:rFonts w:ascii="Arial" w:hAnsi="Arial" w:cs="Arial"/>
          <w:sz w:val="20"/>
          <w:szCs w:val="20"/>
        </w:rPr>
        <w:t>la accionante no discute la existencia del gasto</w:t>
      </w:r>
      <w:r w:rsidR="002D5B4E" w:rsidRPr="004B652B">
        <w:rPr>
          <w:rFonts w:ascii="Arial" w:hAnsi="Arial" w:cs="Arial"/>
          <w:sz w:val="20"/>
          <w:szCs w:val="20"/>
        </w:rPr>
        <w:t xml:space="preserve">. Agrega que </w:t>
      </w:r>
      <w:r w:rsidR="00F73885" w:rsidRPr="00FF38AF">
        <w:rPr>
          <w:rFonts w:ascii="Arial" w:hAnsi="Arial" w:cs="Arial"/>
          <w:b/>
          <w:bCs/>
          <w:sz w:val="20"/>
          <w:szCs w:val="20"/>
        </w:rPr>
        <w:t>los gastos deben guardar relación directa y/o indirecta con el desarrollo de la actividad económica del sujeto en la jurisdicción y no quedar limitad</w:t>
      </w:r>
      <w:r w:rsidR="00FF38AF">
        <w:rPr>
          <w:rFonts w:ascii="Arial" w:hAnsi="Arial" w:cs="Arial"/>
          <w:b/>
          <w:bCs/>
          <w:sz w:val="20"/>
          <w:szCs w:val="20"/>
        </w:rPr>
        <w:t>os</w:t>
      </w:r>
      <w:r w:rsidR="00F73885" w:rsidRPr="00FF38AF">
        <w:rPr>
          <w:rFonts w:ascii="Arial" w:hAnsi="Arial" w:cs="Arial"/>
          <w:b/>
          <w:bCs/>
          <w:sz w:val="20"/>
          <w:szCs w:val="20"/>
        </w:rPr>
        <w:t xml:space="preserve"> al hecho y/o circunstancia que </w:t>
      </w:r>
      <w:r w:rsidR="00FF38AF">
        <w:rPr>
          <w:rFonts w:ascii="Arial" w:hAnsi="Arial" w:cs="Arial"/>
          <w:b/>
          <w:bCs/>
          <w:sz w:val="20"/>
          <w:szCs w:val="20"/>
        </w:rPr>
        <w:t>los</w:t>
      </w:r>
      <w:r w:rsidR="00F73885" w:rsidRPr="00FF38AF">
        <w:rPr>
          <w:rFonts w:ascii="Arial" w:hAnsi="Arial" w:cs="Arial"/>
          <w:b/>
          <w:bCs/>
          <w:sz w:val="20"/>
          <w:szCs w:val="20"/>
        </w:rPr>
        <w:t xml:space="preserve"> mismo</w:t>
      </w:r>
      <w:r w:rsidR="00FF38AF">
        <w:rPr>
          <w:rFonts w:ascii="Arial" w:hAnsi="Arial" w:cs="Arial"/>
          <w:b/>
          <w:bCs/>
          <w:sz w:val="20"/>
          <w:szCs w:val="20"/>
        </w:rPr>
        <w:t>s</w:t>
      </w:r>
      <w:r w:rsidR="00F73885" w:rsidRPr="00FF38AF">
        <w:rPr>
          <w:rFonts w:ascii="Arial" w:hAnsi="Arial" w:cs="Arial"/>
          <w:b/>
          <w:bCs/>
          <w:sz w:val="20"/>
          <w:szCs w:val="20"/>
        </w:rPr>
        <w:t xml:space="preserve"> se encuentre</w:t>
      </w:r>
      <w:r w:rsidR="00FF38AF">
        <w:rPr>
          <w:rFonts w:ascii="Arial" w:hAnsi="Arial" w:cs="Arial"/>
          <w:b/>
          <w:bCs/>
          <w:sz w:val="20"/>
          <w:szCs w:val="20"/>
        </w:rPr>
        <w:t>n</w:t>
      </w:r>
      <w:r w:rsidR="00F73885" w:rsidRPr="00FF38AF">
        <w:rPr>
          <w:rFonts w:ascii="Arial" w:hAnsi="Arial" w:cs="Arial"/>
          <w:b/>
          <w:bCs/>
          <w:sz w:val="20"/>
          <w:szCs w:val="20"/>
        </w:rPr>
        <w:t xml:space="preserve"> relacionado</w:t>
      </w:r>
      <w:r w:rsidR="00FF38AF">
        <w:rPr>
          <w:rFonts w:ascii="Arial" w:hAnsi="Arial" w:cs="Arial"/>
          <w:b/>
          <w:bCs/>
          <w:sz w:val="20"/>
          <w:szCs w:val="20"/>
        </w:rPr>
        <w:t>s</w:t>
      </w:r>
      <w:r w:rsidR="00F73885" w:rsidRPr="00FF38AF">
        <w:rPr>
          <w:rFonts w:ascii="Arial" w:hAnsi="Arial" w:cs="Arial"/>
          <w:b/>
          <w:bCs/>
          <w:sz w:val="20"/>
          <w:szCs w:val="20"/>
        </w:rPr>
        <w:t xml:space="preserve"> con la venta</w:t>
      </w:r>
      <w:r w:rsidR="002D5B4E" w:rsidRPr="004B652B">
        <w:rPr>
          <w:rFonts w:ascii="Arial" w:hAnsi="Arial" w:cs="Arial"/>
          <w:sz w:val="20"/>
          <w:szCs w:val="20"/>
        </w:rPr>
        <w:t xml:space="preserve">. </w:t>
      </w:r>
      <w:r w:rsidR="004B652B" w:rsidRPr="004B652B">
        <w:rPr>
          <w:rFonts w:ascii="Arial" w:hAnsi="Arial" w:cs="Arial"/>
          <w:sz w:val="20"/>
          <w:szCs w:val="20"/>
        </w:rPr>
        <w:t xml:space="preserve">A partir de ahí, la </w:t>
      </w:r>
      <w:r w:rsidR="004B652B" w:rsidRPr="004B652B">
        <w:rPr>
          <w:rFonts w:ascii="Arial" w:hAnsi="Arial" w:cs="Arial"/>
          <w:sz w:val="20"/>
          <w:szCs w:val="20"/>
        </w:rPr>
        <w:lastRenderedPageBreak/>
        <w:t>propia CA considera que existe sustento territorial, que los ingresos se deben atribuir al domicilio del adquirente y que resulta de aplicación la R.G. (CA) 83/2002. Por lo tanto, no se hace lugar a la acción interpuesta.</w:t>
      </w:r>
    </w:p>
    <w:sectPr w:rsidR="00432421" w:rsidRPr="00432421">
      <w:footerReference w:type="even"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E2667A" w14:textId="77777777" w:rsidR="00607709" w:rsidRDefault="00607709" w:rsidP="00D00907">
      <w:r>
        <w:separator/>
      </w:r>
    </w:p>
  </w:endnote>
  <w:endnote w:type="continuationSeparator" w:id="0">
    <w:p w14:paraId="1F3B9B81" w14:textId="77777777" w:rsidR="00607709" w:rsidRDefault="00607709" w:rsidP="00D00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Nmerodepgina"/>
      </w:rPr>
      <w:id w:val="61692578"/>
      <w:docPartObj>
        <w:docPartGallery w:val="Page Numbers (Bottom of Page)"/>
        <w:docPartUnique/>
      </w:docPartObj>
    </w:sdtPr>
    <w:sdtEndPr>
      <w:rPr>
        <w:rStyle w:val="Nmerodepgina"/>
      </w:rPr>
    </w:sdtEndPr>
    <w:sdtContent>
      <w:p w14:paraId="4FBB132A" w14:textId="54BE2E83" w:rsidR="00D00907" w:rsidRDefault="00D00907" w:rsidP="00B52C21">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separate"/>
        </w:r>
        <w:r>
          <w:rPr>
            <w:rStyle w:val="Nmerodepgina"/>
            <w:noProof/>
          </w:rPr>
          <w:t>1</w:t>
        </w:r>
        <w:r>
          <w:rPr>
            <w:rStyle w:val="Nmerodepgina"/>
          </w:rPr>
          <w:fldChar w:fldCharType="end"/>
        </w:r>
      </w:p>
    </w:sdtContent>
  </w:sdt>
  <w:p w14:paraId="13409E16" w14:textId="77777777" w:rsidR="00D00907" w:rsidRDefault="00D00907" w:rsidP="00D00907">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Nmerodepgina"/>
      </w:rPr>
      <w:id w:val="-381868597"/>
      <w:docPartObj>
        <w:docPartGallery w:val="Page Numbers (Bottom of Page)"/>
        <w:docPartUnique/>
      </w:docPartObj>
    </w:sdtPr>
    <w:sdtEndPr>
      <w:rPr>
        <w:rStyle w:val="Nmerodepgina"/>
      </w:rPr>
    </w:sdtEndPr>
    <w:sdtContent>
      <w:p w14:paraId="2F14797E" w14:textId="065FFCB8" w:rsidR="00D00907" w:rsidRDefault="00D00907" w:rsidP="00B52C21">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separate"/>
        </w:r>
        <w:r w:rsidR="00044D57">
          <w:rPr>
            <w:rStyle w:val="Nmerodepgina"/>
            <w:noProof/>
          </w:rPr>
          <w:t>7</w:t>
        </w:r>
        <w:r>
          <w:rPr>
            <w:rStyle w:val="Nmerodepgina"/>
          </w:rPr>
          <w:fldChar w:fldCharType="end"/>
        </w:r>
      </w:p>
    </w:sdtContent>
  </w:sdt>
  <w:p w14:paraId="05E80A39" w14:textId="77777777" w:rsidR="00D00907" w:rsidRDefault="00D00907" w:rsidP="00D00907">
    <w:pPr>
      <w:pStyle w:val="Piedep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E9EE4C" w14:textId="77777777" w:rsidR="00607709" w:rsidRDefault="00607709" w:rsidP="00D00907">
      <w:r>
        <w:separator/>
      </w:r>
    </w:p>
  </w:footnote>
  <w:footnote w:type="continuationSeparator" w:id="0">
    <w:p w14:paraId="218F7B2E" w14:textId="77777777" w:rsidR="00607709" w:rsidRDefault="00607709" w:rsidP="00D009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266BEE"/>
    <w:multiLevelType w:val="hybridMultilevel"/>
    <w:tmpl w:val="ABAED5CE"/>
    <w:lvl w:ilvl="0" w:tplc="0130D080">
      <w:start w:val="9"/>
      <w:numFmt w:val="decimal"/>
      <w:lvlText w:val="%1."/>
      <w:lvlJc w:val="left"/>
      <w:pPr>
        <w:ind w:left="360" w:hanging="360"/>
      </w:pPr>
      <w:rPr>
        <w:rFonts w:hint="default"/>
        <w:b/>
        <w:bCs/>
        <w:i w:val="0"/>
        <w:iCs w:val="0"/>
        <w:sz w:val="20"/>
        <w:szCs w:val="20"/>
      </w:rPr>
    </w:lvl>
    <w:lvl w:ilvl="1" w:tplc="FFFFFFFF" w:tentative="1">
      <w:start w:val="1"/>
      <w:numFmt w:val="bullet"/>
      <w:lvlText w:val="o"/>
      <w:lvlJc w:val="left"/>
      <w:pPr>
        <w:ind w:left="1416" w:hanging="360"/>
      </w:pPr>
      <w:rPr>
        <w:rFonts w:ascii="Courier New" w:hAnsi="Courier New" w:cs="Courier New" w:hint="default"/>
      </w:rPr>
    </w:lvl>
    <w:lvl w:ilvl="2" w:tplc="FFFFFFFF" w:tentative="1">
      <w:start w:val="1"/>
      <w:numFmt w:val="bullet"/>
      <w:lvlText w:val=""/>
      <w:lvlJc w:val="left"/>
      <w:pPr>
        <w:ind w:left="2136" w:hanging="360"/>
      </w:pPr>
      <w:rPr>
        <w:rFonts w:ascii="Wingdings" w:hAnsi="Wingdings" w:hint="default"/>
      </w:rPr>
    </w:lvl>
    <w:lvl w:ilvl="3" w:tplc="FFFFFFFF" w:tentative="1">
      <w:start w:val="1"/>
      <w:numFmt w:val="bullet"/>
      <w:lvlText w:val=""/>
      <w:lvlJc w:val="left"/>
      <w:pPr>
        <w:ind w:left="2856" w:hanging="360"/>
      </w:pPr>
      <w:rPr>
        <w:rFonts w:ascii="Symbol" w:hAnsi="Symbol" w:hint="default"/>
      </w:rPr>
    </w:lvl>
    <w:lvl w:ilvl="4" w:tplc="FFFFFFFF" w:tentative="1">
      <w:start w:val="1"/>
      <w:numFmt w:val="bullet"/>
      <w:lvlText w:val="o"/>
      <w:lvlJc w:val="left"/>
      <w:pPr>
        <w:ind w:left="3576" w:hanging="360"/>
      </w:pPr>
      <w:rPr>
        <w:rFonts w:ascii="Courier New" w:hAnsi="Courier New" w:cs="Courier New" w:hint="default"/>
      </w:rPr>
    </w:lvl>
    <w:lvl w:ilvl="5" w:tplc="FFFFFFFF" w:tentative="1">
      <w:start w:val="1"/>
      <w:numFmt w:val="bullet"/>
      <w:lvlText w:val=""/>
      <w:lvlJc w:val="left"/>
      <w:pPr>
        <w:ind w:left="4296" w:hanging="360"/>
      </w:pPr>
      <w:rPr>
        <w:rFonts w:ascii="Wingdings" w:hAnsi="Wingdings" w:hint="default"/>
      </w:rPr>
    </w:lvl>
    <w:lvl w:ilvl="6" w:tplc="FFFFFFFF" w:tentative="1">
      <w:start w:val="1"/>
      <w:numFmt w:val="bullet"/>
      <w:lvlText w:val=""/>
      <w:lvlJc w:val="left"/>
      <w:pPr>
        <w:ind w:left="5016" w:hanging="360"/>
      </w:pPr>
      <w:rPr>
        <w:rFonts w:ascii="Symbol" w:hAnsi="Symbol" w:hint="default"/>
      </w:rPr>
    </w:lvl>
    <w:lvl w:ilvl="7" w:tplc="FFFFFFFF" w:tentative="1">
      <w:start w:val="1"/>
      <w:numFmt w:val="bullet"/>
      <w:lvlText w:val="o"/>
      <w:lvlJc w:val="left"/>
      <w:pPr>
        <w:ind w:left="5736" w:hanging="360"/>
      </w:pPr>
      <w:rPr>
        <w:rFonts w:ascii="Courier New" w:hAnsi="Courier New" w:cs="Courier New" w:hint="default"/>
      </w:rPr>
    </w:lvl>
    <w:lvl w:ilvl="8" w:tplc="FFFFFFFF" w:tentative="1">
      <w:start w:val="1"/>
      <w:numFmt w:val="bullet"/>
      <w:lvlText w:val=""/>
      <w:lvlJc w:val="left"/>
      <w:pPr>
        <w:ind w:left="6456" w:hanging="360"/>
      </w:pPr>
      <w:rPr>
        <w:rFonts w:ascii="Wingdings" w:hAnsi="Wingdings" w:hint="default"/>
      </w:rPr>
    </w:lvl>
  </w:abstractNum>
  <w:abstractNum w:abstractNumId="1" w15:restartNumberingAfterBreak="0">
    <w:nsid w:val="1C007537"/>
    <w:multiLevelType w:val="hybridMultilevel"/>
    <w:tmpl w:val="1680B5E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8A32180"/>
    <w:multiLevelType w:val="hybridMultilevel"/>
    <w:tmpl w:val="C45C78D4"/>
    <w:lvl w:ilvl="0" w:tplc="241A635C">
      <w:start w:val="1"/>
      <w:numFmt w:val="bullet"/>
      <w:lvlText w:val=""/>
      <w:lvlJc w:val="left"/>
      <w:pPr>
        <w:ind w:left="360" w:hanging="360"/>
      </w:pPr>
      <w:rPr>
        <w:rFonts w:ascii="Wingdings" w:hAnsi="Wingdings" w:hint="default"/>
        <w:sz w:val="20"/>
      </w:rPr>
    </w:lvl>
    <w:lvl w:ilvl="1" w:tplc="080A0003">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 w15:restartNumberingAfterBreak="0">
    <w:nsid w:val="2BC31A70"/>
    <w:multiLevelType w:val="hybridMultilevel"/>
    <w:tmpl w:val="97F88262"/>
    <w:lvl w:ilvl="0" w:tplc="241A635C">
      <w:start w:val="1"/>
      <w:numFmt w:val="bullet"/>
      <w:lvlText w:val=""/>
      <w:lvlJc w:val="left"/>
      <w:pPr>
        <w:ind w:left="696" w:hanging="360"/>
      </w:pPr>
      <w:rPr>
        <w:rFonts w:ascii="Wingdings" w:hAnsi="Wingdings" w:hint="default"/>
        <w:sz w:val="20"/>
      </w:rPr>
    </w:lvl>
    <w:lvl w:ilvl="1" w:tplc="080A0003" w:tentative="1">
      <w:start w:val="1"/>
      <w:numFmt w:val="bullet"/>
      <w:lvlText w:val="o"/>
      <w:lvlJc w:val="left"/>
      <w:pPr>
        <w:ind w:left="1416" w:hanging="360"/>
      </w:pPr>
      <w:rPr>
        <w:rFonts w:ascii="Courier New" w:hAnsi="Courier New" w:cs="Courier New" w:hint="default"/>
      </w:rPr>
    </w:lvl>
    <w:lvl w:ilvl="2" w:tplc="080A0005" w:tentative="1">
      <w:start w:val="1"/>
      <w:numFmt w:val="bullet"/>
      <w:lvlText w:val=""/>
      <w:lvlJc w:val="left"/>
      <w:pPr>
        <w:ind w:left="2136" w:hanging="360"/>
      </w:pPr>
      <w:rPr>
        <w:rFonts w:ascii="Wingdings" w:hAnsi="Wingdings" w:hint="default"/>
      </w:rPr>
    </w:lvl>
    <w:lvl w:ilvl="3" w:tplc="080A0001" w:tentative="1">
      <w:start w:val="1"/>
      <w:numFmt w:val="bullet"/>
      <w:lvlText w:val=""/>
      <w:lvlJc w:val="left"/>
      <w:pPr>
        <w:ind w:left="2856" w:hanging="360"/>
      </w:pPr>
      <w:rPr>
        <w:rFonts w:ascii="Symbol" w:hAnsi="Symbol" w:hint="default"/>
      </w:rPr>
    </w:lvl>
    <w:lvl w:ilvl="4" w:tplc="080A0003" w:tentative="1">
      <w:start w:val="1"/>
      <w:numFmt w:val="bullet"/>
      <w:lvlText w:val="o"/>
      <w:lvlJc w:val="left"/>
      <w:pPr>
        <w:ind w:left="3576" w:hanging="360"/>
      </w:pPr>
      <w:rPr>
        <w:rFonts w:ascii="Courier New" w:hAnsi="Courier New" w:cs="Courier New" w:hint="default"/>
      </w:rPr>
    </w:lvl>
    <w:lvl w:ilvl="5" w:tplc="080A0005" w:tentative="1">
      <w:start w:val="1"/>
      <w:numFmt w:val="bullet"/>
      <w:lvlText w:val=""/>
      <w:lvlJc w:val="left"/>
      <w:pPr>
        <w:ind w:left="4296" w:hanging="360"/>
      </w:pPr>
      <w:rPr>
        <w:rFonts w:ascii="Wingdings" w:hAnsi="Wingdings" w:hint="default"/>
      </w:rPr>
    </w:lvl>
    <w:lvl w:ilvl="6" w:tplc="080A0001" w:tentative="1">
      <w:start w:val="1"/>
      <w:numFmt w:val="bullet"/>
      <w:lvlText w:val=""/>
      <w:lvlJc w:val="left"/>
      <w:pPr>
        <w:ind w:left="5016" w:hanging="360"/>
      </w:pPr>
      <w:rPr>
        <w:rFonts w:ascii="Symbol" w:hAnsi="Symbol" w:hint="default"/>
      </w:rPr>
    </w:lvl>
    <w:lvl w:ilvl="7" w:tplc="080A0003" w:tentative="1">
      <w:start w:val="1"/>
      <w:numFmt w:val="bullet"/>
      <w:lvlText w:val="o"/>
      <w:lvlJc w:val="left"/>
      <w:pPr>
        <w:ind w:left="5736" w:hanging="360"/>
      </w:pPr>
      <w:rPr>
        <w:rFonts w:ascii="Courier New" w:hAnsi="Courier New" w:cs="Courier New" w:hint="default"/>
      </w:rPr>
    </w:lvl>
    <w:lvl w:ilvl="8" w:tplc="080A0005" w:tentative="1">
      <w:start w:val="1"/>
      <w:numFmt w:val="bullet"/>
      <w:lvlText w:val=""/>
      <w:lvlJc w:val="left"/>
      <w:pPr>
        <w:ind w:left="6456" w:hanging="360"/>
      </w:pPr>
      <w:rPr>
        <w:rFonts w:ascii="Wingdings" w:hAnsi="Wingdings" w:hint="default"/>
      </w:rPr>
    </w:lvl>
  </w:abstractNum>
  <w:abstractNum w:abstractNumId="4" w15:restartNumberingAfterBreak="0">
    <w:nsid w:val="58655C03"/>
    <w:multiLevelType w:val="hybridMultilevel"/>
    <w:tmpl w:val="17DEE4D8"/>
    <w:lvl w:ilvl="0" w:tplc="2DCE8DF4">
      <w:start w:val="8"/>
      <w:numFmt w:val="decimal"/>
      <w:lvlText w:val="%1."/>
      <w:lvlJc w:val="left"/>
      <w:pPr>
        <w:ind w:left="360" w:hanging="360"/>
      </w:pPr>
      <w:rPr>
        <w:rFonts w:hint="default"/>
        <w:b w:val="0"/>
        <w:bCs w:val="0"/>
        <w:i w:val="0"/>
        <w:iCs w:val="0"/>
        <w:sz w:val="20"/>
        <w:szCs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616D5D8F"/>
    <w:multiLevelType w:val="hybridMultilevel"/>
    <w:tmpl w:val="29D4072E"/>
    <w:lvl w:ilvl="0" w:tplc="241A635C">
      <w:start w:val="1"/>
      <w:numFmt w:val="bullet"/>
      <w:lvlText w:val=""/>
      <w:lvlJc w:val="left"/>
      <w:pPr>
        <w:ind w:left="720" w:hanging="360"/>
      </w:pPr>
      <w:rPr>
        <w:rFonts w:ascii="Wingdings" w:hAnsi="Wingdings" w:hint="default"/>
        <w:sz w:val="20"/>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63CD09E9"/>
    <w:multiLevelType w:val="hybridMultilevel"/>
    <w:tmpl w:val="133436B0"/>
    <w:lvl w:ilvl="0" w:tplc="F128480E">
      <w:start w:val="1"/>
      <w:numFmt w:val="bullet"/>
      <w:lvlText w:val=""/>
      <w:lvlJc w:val="left"/>
      <w:pPr>
        <w:ind w:left="1068" w:hanging="360"/>
      </w:pPr>
      <w:rPr>
        <w:rFonts w:ascii="Wingdings" w:hAnsi="Wingdings" w:hint="default"/>
        <w:sz w:val="20"/>
      </w:rPr>
    </w:lvl>
    <w:lvl w:ilvl="1" w:tplc="080A0003" w:tentative="1">
      <w:start w:val="1"/>
      <w:numFmt w:val="bullet"/>
      <w:lvlText w:val="o"/>
      <w:lvlJc w:val="left"/>
      <w:pPr>
        <w:ind w:left="1788" w:hanging="360"/>
      </w:pPr>
      <w:rPr>
        <w:rFonts w:ascii="Courier New" w:hAnsi="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7" w15:restartNumberingAfterBreak="0">
    <w:nsid w:val="75B03313"/>
    <w:multiLevelType w:val="hybridMultilevel"/>
    <w:tmpl w:val="7940204A"/>
    <w:lvl w:ilvl="0" w:tplc="3222B912">
      <w:start w:val="3"/>
      <w:numFmt w:val="decimal"/>
      <w:lvlText w:val="%1."/>
      <w:lvlJc w:val="left"/>
      <w:pPr>
        <w:ind w:left="360" w:hanging="360"/>
      </w:pPr>
      <w:rPr>
        <w:rFonts w:hint="default"/>
        <w:b w:val="0"/>
        <w:bCs w:val="0"/>
        <w:i w:val="0"/>
        <w:iCs w:val="0"/>
        <w:sz w:val="20"/>
        <w:szCs w:val="20"/>
      </w:rPr>
    </w:lvl>
    <w:lvl w:ilvl="1" w:tplc="241A635C">
      <w:start w:val="1"/>
      <w:numFmt w:val="bullet"/>
      <w:lvlText w:val=""/>
      <w:lvlJc w:val="left"/>
      <w:pPr>
        <w:ind w:left="360" w:hanging="360"/>
      </w:pPr>
      <w:rPr>
        <w:rFonts w:ascii="Wingdings" w:hAnsi="Wingdings" w:hint="default"/>
        <w:sz w:val="20"/>
      </w:rPr>
    </w:lvl>
    <w:lvl w:ilvl="2" w:tplc="2DCE8DF4">
      <w:start w:val="8"/>
      <w:numFmt w:val="decimal"/>
      <w:lvlText w:val="%3."/>
      <w:lvlJc w:val="left"/>
      <w:pPr>
        <w:ind w:left="360" w:hanging="360"/>
      </w:pPr>
      <w:rPr>
        <w:rFonts w:hint="default"/>
        <w:b w:val="0"/>
        <w:bCs w:val="0"/>
        <w:i w:val="0"/>
        <w:iCs w:val="0"/>
        <w:sz w:val="20"/>
        <w:szCs w:val="20"/>
      </w:rPr>
    </w:lvl>
    <w:lvl w:ilvl="3" w:tplc="241A635C">
      <w:start w:val="1"/>
      <w:numFmt w:val="bullet"/>
      <w:lvlText w:val=""/>
      <w:lvlJc w:val="left"/>
      <w:pPr>
        <w:ind w:left="360" w:hanging="360"/>
      </w:pPr>
      <w:rPr>
        <w:rFonts w:ascii="Wingdings" w:hAnsi="Wingdings" w:hint="default"/>
        <w:sz w:val="20"/>
      </w:r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8" w15:restartNumberingAfterBreak="0">
    <w:nsid w:val="75BC79FD"/>
    <w:multiLevelType w:val="hybridMultilevel"/>
    <w:tmpl w:val="810C0EAA"/>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abstractNumId w:val="1"/>
  </w:num>
  <w:num w:numId="2">
    <w:abstractNumId w:val="2"/>
  </w:num>
  <w:num w:numId="3">
    <w:abstractNumId w:val="8"/>
  </w:num>
  <w:num w:numId="4">
    <w:abstractNumId w:val="5"/>
  </w:num>
  <w:num w:numId="5">
    <w:abstractNumId w:val="7"/>
  </w:num>
  <w:num w:numId="6">
    <w:abstractNumId w:val="3"/>
  </w:num>
  <w:num w:numId="7">
    <w:abstractNumId w:val="4"/>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301F"/>
    <w:rsid w:val="00027075"/>
    <w:rsid w:val="00033B8C"/>
    <w:rsid w:val="00044D57"/>
    <w:rsid w:val="00062FB8"/>
    <w:rsid w:val="00064A51"/>
    <w:rsid w:val="00091387"/>
    <w:rsid w:val="00092C20"/>
    <w:rsid w:val="001559E4"/>
    <w:rsid w:val="0016076D"/>
    <w:rsid w:val="00193FEA"/>
    <w:rsid w:val="00194CAB"/>
    <w:rsid w:val="001A164A"/>
    <w:rsid w:val="0023670D"/>
    <w:rsid w:val="002C4871"/>
    <w:rsid w:val="002D5B4E"/>
    <w:rsid w:val="002E76D2"/>
    <w:rsid w:val="00334508"/>
    <w:rsid w:val="00341B04"/>
    <w:rsid w:val="003B6257"/>
    <w:rsid w:val="00432421"/>
    <w:rsid w:val="00437DC0"/>
    <w:rsid w:val="004B652B"/>
    <w:rsid w:val="005B1382"/>
    <w:rsid w:val="00607709"/>
    <w:rsid w:val="00610BFA"/>
    <w:rsid w:val="00614DE7"/>
    <w:rsid w:val="006C627A"/>
    <w:rsid w:val="006D4DBE"/>
    <w:rsid w:val="0071794C"/>
    <w:rsid w:val="0076305F"/>
    <w:rsid w:val="007710FD"/>
    <w:rsid w:val="007E7922"/>
    <w:rsid w:val="008A37F8"/>
    <w:rsid w:val="008A561F"/>
    <w:rsid w:val="008A565B"/>
    <w:rsid w:val="00977174"/>
    <w:rsid w:val="009D773B"/>
    <w:rsid w:val="009E2F1E"/>
    <w:rsid w:val="009E6CD7"/>
    <w:rsid w:val="00A04E0D"/>
    <w:rsid w:val="00A751CF"/>
    <w:rsid w:val="00A771F2"/>
    <w:rsid w:val="00A9586B"/>
    <w:rsid w:val="00B26BF8"/>
    <w:rsid w:val="00B8244B"/>
    <w:rsid w:val="00B87A38"/>
    <w:rsid w:val="00BD31EE"/>
    <w:rsid w:val="00BD5C49"/>
    <w:rsid w:val="00C030BF"/>
    <w:rsid w:val="00C24F0C"/>
    <w:rsid w:val="00CA301F"/>
    <w:rsid w:val="00CB5904"/>
    <w:rsid w:val="00CC08B6"/>
    <w:rsid w:val="00CD7CED"/>
    <w:rsid w:val="00CF10FD"/>
    <w:rsid w:val="00D00907"/>
    <w:rsid w:val="00D272A8"/>
    <w:rsid w:val="00D413E6"/>
    <w:rsid w:val="00D61ABD"/>
    <w:rsid w:val="00D709CE"/>
    <w:rsid w:val="00DC7FCB"/>
    <w:rsid w:val="00E36148"/>
    <w:rsid w:val="00E47E1C"/>
    <w:rsid w:val="00E63CD4"/>
    <w:rsid w:val="00E67A45"/>
    <w:rsid w:val="00EF6D7F"/>
    <w:rsid w:val="00F359F3"/>
    <w:rsid w:val="00F649FB"/>
    <w:rsid w:val="00F73885"/>
    <w:rsid w:val="00FE53A4"/>
    <w:rsid w:val="00FF38AF"/>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7777D"/>
  <w15:chartTrackingRefBased/>
  <w15:docId w15:val="{248E6A3F-5AA0-5244-A512-58F14E5E6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s-A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7E1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92C20"/>
    <w:pPr>
      <w:ind w:left="720"/>
      <w:contextualSpacing/>
    </w:pPr>
  </w:style>
  <w:style w:type="paragraph" w:styleId="Encabezado">
    <w:name w:val="header"/>
    <w:basedOn w:val="Normal"/>
    <w:link w:val="EncabezadoCar"/>
    <w:uiPriority w:val="99"/>
    <w:unhideWhenUsed/>
    <w:rsid w:val="00D00907"/>
    <w:pPr>
      <w:tabs>
        <w:tab w:val="center" w:pos="4419"/>
        <w:tab w:val="right" w:pos="8838"/>
      </w:tabs>
    </w:pPr>
  </w:style>
  <w:style w:type="character" w:customStyle="1" w:styleId="EncabezadoCar">
    <w:name w:val="Encabezado Car"/>
    <w:basedOn w:val="Fuentedeprrafopredeter"/>
    <w:link w:val="Encabezado"/>
    <w:uiPriority w:val="99"/>
    <w:rsid w:val="00D00907"/>
  </w:style>
  <w:style w:type="paragraph" w:styleId="Piedepgina">
    <w:name w:val="footer"/>
    <w:basedOn w:val="Normal"/>
    <w:link w:val="PiedepginaCar"/>
    <w:uiPriority w:val="99"/>
    <w:unhideWhenUsed/>
    <w:rsid w:val="00D00907"/>
    <w:pPr>
      <w:tabs>
        <w:tab w:val="center" w:pos="4419"/>
        <w:tab w:val="right" w:pos="8838"/>
      </w:tabs>
    </w:pPr>
  </w:style>
  <w:style w:type="character" w:customStyle="1" w:styleId="PiedepginaCar">
    <w:name w:val="Pie de página Car"/>
    <w:basedOn w:val="Fuentedeprrafopredeter"/>
    <w:link w:val="Piedepgina"/>
    <w:uiPriority w:val="99"/>
    <w:rsid w:val="00D00907"/>
  </w:style>
  <w:style w:type="character" w:styleId="Nmerodepgina">
    <w:name w:val="page number"/>
    <w:basedOn w:val="Fuentedeprrafopredeter"/>
    <w:uiPriority w:val="99"/>
    <w:semiHidden/>
    <w:unhideWhenUsed/>
    <w:rsid w:val="00D00907"/>
  </w:style>
  <w:style w:type="paragraph" w:styleId="Textonotapie">
    <w:name w:val="footnote text"/>
    <w:basedOn w:val="Normal"/>
    <w:link w:val="TextonotapieCar"/>
    <w:uiPriority w:val="99"/>
    <w:semiHidden/>
    <w:unhideWhenUsed/>
    <w:rsid w:val="009D773B"/>
    <w:rPr>
      <w:sz w:val="20"/>
      <w:szCs w:val="20"/>
    </w:rPr>
  </w:style>
  <w:style w:type="character" w:customStyle="1" w:styleId="TextonotapieCar">
    <w:name w:val="Texto nota pie Car"/>
    <w:basedOn w:val="Fuentedeprrafopredeter"/>
    <w:link w:val="Textonotapie"/>
    <w:uiPriority w:val="99"/>
    <w:semiHidden/>
    <w:rsid w:val="009D773B"/>
    <w:rPr>
      <w:sz w:val="20"/>
      <w:szCs w:val="20"/>
    </w:rPr>
  </w:style>
  <w:style w:type="character" w:styleId="Refdenotaalpie">
    <w:name w:val="footnote reference"/>
    <w:basedOn w:val="Fuentedeprrafopredeter"/>
    <w:uiPriority w:val="99"/>
    <w:semiHidden/>
    <w:unhideWhenUsed/>
    <w:rsid w:val="009D773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TotalTime>
  <Pages>7</Pages>
  <Words>2459</Words>
  <Characters>13527</Characters>
  <Application>Microsoft Office Word</Application>
  <DocSecurity>0</DocSecurity>
  <Lines>112</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Francisco Reyes</dc:creator>
  <cp:keywords/>
  <dc:description/>
  <cp:lastModifiedBy>Gustavo Grinberg</cp:lastModifiedBy>
  <cp:revision>5</cp:revision>
  <dcterms:created xsi:type="dcterms:W3CDTF">2022-08-12T17:57:00Z</dcterms:created>
  <dcterms:modified xsi:type="dcterms:W3CDTF">2022-08-12T19:49:00Z</dcterms:modified>
</cp:coreProperties>
</file>